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764CB" w14:textId="77777777" w:rsidR="00B11C18" w:rsidRDefault="002B3B06" w:rsidP="00DB1541">
      <w:pPr>
        <w:tabs>
          <w:tab w:val="left" w:pos="410"/>
          <w:tab w:val="center" w:pos="6979"/>
        </w:tabs>
        <w:jc w:val="center"/>
        <w:rPr>
          <w:b/>
          <w:sz w:val="28"/>
          <w:szCs w:val="28"/>
        </w:rPr>
      </w:pPr>
      <w:r>
        <w:rPr>
          <w:b/>
          <w:sz w:val="28"/>
          <w:szCs w:val="28"/>
        </w:rPr>
        <w:t>An A</w:t>
      </w:r>
      <w:r w:rsidR="00537076">
        <w:rPr>
          <w:b/>
          <w:sz w:val="28"/>
          <w:szCs w:val="28"/>
        </w:rPr>
        <w:t xml:space="preserve">ssessment of </w:t>
      </w:r>
      <w:r>
        <w:rPr>
          <w:b/>
          <w:sz w:val="28"/>
          <w:szCs w:val="28"/>
        </w:rPr>
        <w:t xml:space="preserve">the </w:t>
      </w:r>
      <w:r w:rsidR="00E41AF8">
        <w:rPr>
          <w:b/>
          <w:sz w:val="28"/>
          <w:szCs w:val="28"/>
        </w:rPr>
        <w:t xml:space="preserve">Fiscal </w:t>
      </w:r>
      <w:r>
        <w:rPr>
          <w:b/>
          <w:sz w:val="28"/>
          <w:szCs w:val="28"/>
        </w:rPr>
        <w:t>Transparency</w:t>
      </w:r>
      <w:r w:rsidR="00E41AF8">
        <w:rPr>
          <w:b/>
          <w:sz w:val="28"/>
          <w:szCs w:val="28"/>
        </w:rPr>
        <w:t xml:space="preserve"> of </w:t>
      </w:r>
      <w:r w:rsidR="00D60120">
        <w:rPr>
          <w:b/>
          <w:sz w:val="28"/>
          <w:szCs w:val="28"/>
        </w:rPr>
        <w:t>GIFT Stewards</w:t>
      </w:r>
    </w:p>
    <w:p w14:paraId="27459765" w14:textId="0B3A0159" w:rsidR="00C52E06" w:rsidRDefault="00C52E06" w:rsidP="00B11C18">
      <w:pPr>
        <w:tabs>
          <w:tab w:val="left" w:pos="410"/>
          <w:tab w:val="center" w:pos="6979"/>
        </w:tabs>
        <w:rPr>
          <w:sz w:val="24"/>
          <w:szCs w:val="24"/>
        </w:rPr>
      </w:pPr>
    </w:p>
    <w:p w14:paraId="4B525AAB" w14:textId="77777777" w:rsidR="006676D8" w:rsidRDefault="006676D8" w:rsidP="00B11C18">
      <w:pPr>
        <w:tabs>
          <w:tab w:val="left" w:pos="410"/>
          <w:tab w:val="center" w:pos="6979"/>
        </w:tabs>
        <w:rPr>
          <w:sz w:val="24"/>
          <w:szCs w:val="24"/>
        </w:rPr>
      </w:pPr>
    </w:p>
    <w:p w14:paraId="14D8DC73" w14:textId="26731050" w:rsidR="00B11C18" w:rsidRPr="0025534A" w:rsidRDefault="00B11C18" w:rsidP="00B11C18">
      <w:pPr>
        <w:tabs>
          <w:tab w:val="left" w:pos="410"/>
          <w:tab w:val="center" w:pos="6979"/>
        </w:tabs>
        <w:rPr>
          <w:sz w:val="24"/>
          <w:szCs w:val="24"/>
        </w:rPr>
      </w:pPr>
      <w:r w:rsidRPr="0025534A">
        <w:rPr>
          <w:sz w:val="24"/>
          <w:szCs w:val="24"/>
        </w:rPr>
        <w:t>Murray Petrie</w:t>
      </w:r>
    </w:p>
    <w:p w14:paraId="4D58466B" w14:textId="77777777" w:rsidR="00B11C18" w:rsidRPr="0025534A" w:rsidRDefault="00B11C18" w:rsidP="00B11C18">
      <w:pPr>
        <w:tabs>
          <w:tab w:val="left" w:pos="410"/>
          <w:tab w:val="center" w:pos="6979"/>
        </w:tabs>
        <w:rPr>
          <w:sz w:val="24"/>
          <w:szCs w:val="24"/>
        </w:rPr>
      </w:pPr>
      <w:r w:rsidRPr="0025534A">
        <w:rPr>
          <w:sz w:val="24"/>
          <w:szCs w:val="24"/>
        </w:rPr>
        <w:t>GIFT Lead Technical Advisor,</w:t>
      </w:r>
    </w:p>
    <w:p w14:paraId="718FA888" w14:textId="77777777" w:rsidR="0025534A" w:rsidRDefault="00C52E06" w:rsidP="008C3065">
      <w:pPr>
        <w:rPr>
          <w:sz w:val="24"/>
          <w:szCs w:val="24"/>
        </w:rPr>
      </w:pPr>
      <w:r w:rsidRPr="0025534A">
        <w:rPr>
          <w:sz w:val="24"/>
          <w:szCs w:val="24"/>
        </w:rPr>
        <w:t>26 September 2018.</w:t>
      </w:r>
      <w:r w:rsidR="00D60120" w:rsidRPr="0025534A">
        <w:rPr>
          <w:sz w:val="24"/>
          <w:szCs w:val="24"/>
        </w:rPr>
        <w:t xml:space="preserve"> </w:t>
      </w:r>
    </w:p>
    <w:p w14:paraId="4BD4E182" w14:textId="5F144B9C" w:rsidR="004E40A0" w:rsidRDefault="00DB1541" w:rsidP="008C3065">
      <w:pPr>
        <w:rPr>
          <w:sz w:val="24"/>
          <w:szCs w:val="24"/>
        </w:rPr>
      </w:pPr>
      <w:r>
        <w:rPr>
          <w:b/>
          <w:sz w:val="24"/>
          <w:szCs w:val="24"/>
        </w:rPr>
        <w:t xml:space="preserve">Summary </w:t>
      </w:r>
      <w:r>
        <w:rPr>
          <w:b/>
          <w:sz w:val="24"/>
          <w:szCs w:val="24"/>
        </w:rPr>
        <w:br/>
      </w:r>
      <w:r w:rsidR="002357E2" w:rsidRPr="006576A0">
        <w:rPr>
          <w:sz w:val="24"/>
          <w:szCs w:val="24"/>
        </w:rPr>
        <w:t xml:space="preserve">This </w:t>
      </w:r>
      <w:r w:rsidR="008C3065" w:rsidRPr="006576A0">
        <w:rPr>
          <w:sz w:val="24"/>
          <w:szCs w:val="24"/>
        </w:rPr>
        <w:t>paper</w:t>
      </w:r>
      <w:r w:rsidR="004E40A0">
        <w:rPr>
          <w:sz w:val="24"/>
          <w:szCs w:val="24"/>
        </w:rPr>
        <w:t xml:space="preserve"> provides an overview of fiscal </w:t>
      </w:r>
      <w:r w:rsidR="002B3B06">
        <w:rPr>
          <w:sz w:val="24"/>
          <w:szCs w:val="24"/>
        </w:rPr>
        <w:t>openness</w:t>
      </w:r>
      <w:r w:rsidR="004E40A0">
        <w:rPr>
          <w:sz w:val="24"/>
          <w:szCs w:val="24"/>
        </w:rPr>
        <w:t xml:space="preserve"> in the </w:t>
      </w:r>
      <w:r w:rsidR="000F48C4">
        <w:rPr>
          <w:sz w:val="24"/>
          <w:szCs w:val="24"/>
        </w:rPr>
        <w:t>1</w:t>
      </w:r>
      <w:r w:rsidR="00AA5394">
        <w:rPr>
          <w:sz w:val="24"/>
          <w:szCs w:val="24"/>
        </w:rPr>
        <w:t>8</w:t>
      </w:r>
      <w:r w:rsidR="004E40A0">
        <w:rPr>
          <w:sz w:val="24"/>
          <w:szCs w:val="24"/>
        </w:rPr>
        <w:t xml:space="preserve"> countries that are GIFT Stewards</w:t>
      </w:r>
      <w:r w:rsidR="004965BE">
        <w:rPr>
          <w:sz w:val="24"/>
          <w:szCs w:val="24"/>
        </w:rPr>
        <w:t>, and for two GIFT Partner countries</w:t>
      </w:r>
      <w:r w:rsidR="0007114E">
        <w:rPr>
          <w:sz w:val="24"/>
          <w:szCs w:val="24"/>
        </w:rPr>
        <w:t xml:space="preserve"> (Egypt and Liberia)</w:t>
      </w:r>
      <w:r w:rsidR="004E40A0">
        <w:rPr>
          <w:sz w:val="24"/>
          <w:szCs w:val="24"/>
        </w:rPr>
        <w:t xml:space="preserve">. The paper has been prepared to provide information to support peer learning, to facilitate discussion of the actions steward governments are </w:t>
      </w:r>
      <w:r w:rsidR="00C06D71">
        <w:rPr>
          <w:sz w:val="24"/>
          <w:szCs w:val="24"/>
        </w:rPr>
        <w:t xml:space="preserve">considering or are </w:t>
      </w:r>
      <w:r w:rsidR="004E40A0">
        <w:rPr>
          <w:sz w:val="24"/>
          <w:szCs w:val="24"/>
        </w:rPr>
        <w:t xml:space="preserve">taking to increase fiscal </w:t>
      </w:r>
      <w:r w:rsidR="00AA5394">
        <w:rPr>
          <w:sz w:val="24"/>
          <w:szCs w:val="24"/>
        </w:rPr>
        <w:t xml:space="preserve">openness, and to promote more ambitious </w:t>
      </w:r>
      <w:r w:rsidR="002B3B06">
        <w:rPr>
          <w:sz w:val="24"/>
          <w:szCs w:val="24"/>
        </w:rPr>
        <w:t xml:space="preserve">and better implemented </w:t>
      </w:r>
      <w:r w:rsidR="00AA5394">
        <w:rPr>
          <w:sz w:val="24"/>
          <w:szCs w:val="24"/>
        </w:rPr>
        <w:t>reforms and OGP commitments</w:t>
      </w:r>
      <w:r w:rsidR="004E40A0">
        <w:rPr>
          <w:sz w:val="24"/>
          <w:szCs w:val="24"/>
        </w:rPr>
        <w:t>.</w:t>
      </w:r>
    </w:p>
    <w:p w14:paraId="48F8C817" w14:textId="47949A0A" w:rsidR="008C3065" w:rsidRPr="00DB1541" w:rsidRDefault="004E40A0" w:rsidP="008C3065">
      <w:pPr>
        <w:rPr>
          <w:b/>
          <w:sz w:val="24"/>
          <w:szCs w:val="24"/>
        </w:rPr>
      </w:pPr>
      <w:r>
        <w:rPr>
          <w:sz w:val="24"/>
          <w:szCs w:val="24"/>
        </w:rPr>
        <w:t>The paper contains</w:t>
      </w:r>
      <w:r w:rsidR="008C3065" w:rsidRPr="006576A0">
        <w:rPr>
          <w:sz w:val="24"/>
          <w:szCs w:val="24"/>
        </w:rPr>
        <w:t>:</w:t>
      </w:r>
    </w:p>
    <w:p w14:paraId="40B93023" w14:textId="573BE2F8" w:rsidR="002200D3" w:rsidRDefault="002200D3" w:rsidP="00DB1541">
      <w:pPr>
        <w:pStyle w:val="ListParagraph"/>
        <w:numPr>
          <w:ilvl w:val="0"/>
          <w:numId w:val="11"/>
        </w:numPr>
        <w:rPr>
          <w:sz w:val="24"/>
          <w:szCs w:val="24"/>
        </w:rPr>
      </w:pPr>
      <w:r>
        <w:rPr>
          <w:sz w:val="24"/>
          <w:szCs w:val="24"/>
        </w:rPr>
        <w:t xml:space="preserve">Data on Steward </w:t>
      </w:r>
      <w:r w:rsidR="004965BE">
        <w:rPr>
          <w:sz w:val="24"/>
          <w:szCs w:val="24"/>
        </w:rPr>
        <w:t xml:space="preserve">and Partner </w:t>
      </w:r>
      <w:r>
        <w:rPr>
          <w:sz w:val="24"/>
          <w:szCs w:val="24"/>
        </w:rPr>
        <w:t>country scores on successive rounds of the Open Budget Index.</w:t>
      </w:r>
    </w:p>
    <w:p w14:paraId="674C4C94" w14:textId="71E36502" w:rsidR="002200D3" w:rsidRDefault="002200D3" w:rsidP="00DB1541">
      <w:pPr>
        <w:pStyle w:val="ListParagraph"/>
        <w:numPr>
          <w:ilvl w:val="0"/>
          <w:numId w:val="11"/>
        </w:numPr>
        <w:rPr>
          <w:sz w:val="24"/>
          <w:szCs w:val="24"/>
        </w:rPr>
      </w:pPr>
      <w:r>
        <w:rPr>
          <w:sz w:val="24"/>
          <w:szCs w:val="24"/>
        </w:rPr>
        <w:t>Data on the gaps between each Steward</w:t>
      </w:r>
      <w:r w:rsidR="0007114E">
        <w:rPr>
          <w:sz w:val="24"/>
          <w:szCs w:val="24"/>
        </w:rPr>
        <w:t>’s</w:t>
      </w:r>
      <w:r>
        <w:rPr>
          <w:sz w:val="24"/>
          <w:szCs w:val="24"/>
        </w:rPr>
        <w:t xml:space="preserve"> score on the 2017 OBI and the global leader on the OBI for each country’s peer group</w:t>
      </w:r>
      <w:r w:rsidR="002B3B06">
        <w:rPr>
          <w:sz w:val="24"/>
          <w:szCs w:val="24"/>
        </w:rPr>
        <w:t>.</w:t>
      </w:r>
    </w:p>
    <w:p w14:paraId="413D7C96" w14:textId="407DF4F7" w:rsidR="002200D3" w:rsidRDefault="002200D3" w:rsidP="00DB1541">
      <w:pPr>
        <w:pStyle w:val="ListParagraph"/>
        <w:numPr>
          <w:ilvl w:val="0"/>
          <w:numId w:val="11"/>
        </w:numPr>
        <w:rPr>
          <w:sz w:val="24"/>
          <w:szCs w:val="24"/>
        </w:rPr>
      </w:pPr>
      <w:r>
        <w:rPr>
          <w:sz w:val="24"/>
          <w:szCs w:val="24"/>
        </w:rPr>
        <w:t>Data on each Steward</w:t>
      </w:r>
      <w:r w:rsidR="004965BE" w:rsidRPr="004965BE">
        <w:t xml:space="preserve"> </w:t>
      </w:r>
      <w:r w:rsidR="004965BE" w:rsidRPr="004965BE">
        <w:rPr>
          <w:sz w:val="24"/>
          <w:szCs w:val="24"/>
        </w:rPr>
        <w:t>and Partner</w:t>
      </w:r>
      <w:r>
        <w:rPr>
          <w:sz w:val="24"/>
          <w:szCs w:val="24"/>
        </w:rPr>
        <w:t xml:space="preserve"> country’s scores for public participation from the 2017 OBS (total </w:t>
      </w:r>
      <w:r w:rsidR="00725D04">
        <w:rPr>
          <w:sz w:val="24"/>
          <w:szCs w:val="24"/>
        </w:rPr>
        <w:t xml:space="preserve">participation </w:t>
      </w:r>
      <w:r>
        <w:rPr>
          <w:sz w:val="24"/>
          <w:szCs w:val="24"/>
        </w:rPr>
        <w:t>score, and score for the executive branch).</w:t>
      </w:r>
    </w:p>
    <w:p w14:paraId="587CFA30" w14:textId="33E6EF5E" w:rsidR="002200D3" w:rsidRDefault="002200D3" w:rsidP="00DB1541">
      <w:pPr>
        <w:pStyle w:val="ListParagraph"/>
        <w:numPr>
          <w:ilvl w:val="0"/>
          <w:numId w:val="11"/>
        </w:numPr>
        <w:rPr>
          <w:sz w:val="24"/>
          <w:szCs w:val="24"/>
        </w:rPr>
      </w:pPr>
      <w:bookmarkStart w:id="0" w:name="_Hlk525232376"/>
      <w:r>
        <w:rPr>
          <w:sz w:val="24"/>
          <w:szCs w:val="24"/>
        </w:rPr>
        <w:t>Data from published IMF Fiscal Transparency Evaluations for five steward countries.</w:t>
      </w:r>
    </w:p>
    <w:p w14:paraId="7818900B" w14:textId="30546D16" w:rsidR="002200D3" w:rsidRDefault="002200D3" w:rsidP="00DB1541">
      <w:pPr>
        <w:pStyle w:val="ListParagraph"/>
        <w:numPr>
          <w:ilvl w:val="0"/>
          <w:numId w:val="11"/>
        </w:numPr>
        <w:rPr>
          <w:sz w:val="24"/>
          <w:szCs w:val="24"/>
        </w:rPr>
      </w:pPr>
      <w:r>
        <w:rPr>
          <w:sz w:val="24"/>
          <w:szCs w:val="24"/>
        </w:rPr>
        <w:t xml:space="preserve">Information </w:t>
      </w:r>
      <w:r w:rsidR="00485CC2">
        <w:rPr>
          <w:sz w:val="24"/>
          <w:szCs w:val="24"/>
        </w:rPr>
        <w:t xml:space="preserve">on fiscal transparency </w:t>
      </w:r>
      <w:r>
        <w:rPr>
          <w:sz w:val="24"/>
          <w:szCs w:val="24"/>
        </w:rPr>
        <w:t xml:space="preserve">from published PEFA reports for </w:t>
      </w:r>
      <w:r w:rsidR="00241347">
        <w:rPr>
          <w:sz w:val="24"/>
          <w:szCs w:val="24"/>
        </w:rPr>
        <w:t>13</w:t>
      </w:r>
      <w:r>
        <w:rPr>
          <w:sz w:val="24"/>
          <w:szCs w:val="24"/>
        </w:rPr>
        <w:t xml:space="preserve"> Steward countries.</w:t>
      </w:r>
    </w:p>
    <w:p w14:paraId="31E9A821" w14:textId="1178068F" w:rsidR="002006BD" w:rsidRDefault="002006BD" w:rsidP="00DB1541">
      <w:pPr>
        <w:pStyle w:val="ListParagraph"/>
        <w:numPr>
          <w:ilvl w:val="0"/>
          <w:numId w:val="11"/>
        </w:numPr>
        <w:rPr>
          <w:sz w:val="24"/>
          <w:szCs w:val="24"/>
        </w:rPr>
      </w:pPr>
      <w:bookmarkStart w:id="1" w:name="_Hlk525654003"/>
      <w:r>
        <w:rPr>
          <w:sz w:val="24"/>
          <w:szCs w:val="24"/>
        </w:rPr>
        <w:t xml:space="preserve">Information from the US State Department’s </w:t>
      </w:r>
      <w:r w:rsidRPr="002006BD">
        <w:rPr>
          <w:sz w:val="24"/>
          <w:szCs w:val="24"/>
        </w:rPr>
        <w:t>2018 F</w:t>
      </w:r>
      <w:r>
        <w:rPr>
          <w:sz w:val="24"/>
          <w:szCs w:val="24"/>
        </w:rPr>
        <w:t>iscal Transparency Report</w:t>
      </w:r>
      <w:r w:rsidR="004965BE">
        <w:rPr>
          <w:sz w:val="24"/>
          <w:szCs w:val="24"/>
        </w:rPr>
        <w:t xml:space="preserve"> on fiscal transparency in GIFT Steward and Partner countries.</w:t>
      </w:r>
    </w:p>
    <w:p w14:paraId="56B1EE78" w14:textId="7EB70140" w:rsidR="00F304C5" w:rsidRPr="002B7FB3" w:rsidRDefault="00241347" w:rsidP="002B7FB3">
      <w:pPr>
        <w:pStyle w:val="ListParagraph"/>
        <w:numPr>
          <w:ilvl w:val="0"/>
          <w:numId w:val="11"/>
        </w:numPr>
        <w:rPr>
          <w:sz w:val="24"/>
          <w:szCs w:val="24"/>
        </w:rPr>
      </w:pPr>
      <w:bookmarkStart w:id="2" w:name="_Hlk525232475"/>
      <w:bookmarkEnd w:id="0"/>
      <w:bookmarkEnd w:id="1"/>
      <w:r>
        <w:rPr>
          <w:sz w:val="24"/>
          <w:szCs w:val="24"/>
        </w:rPr>
        <w:t>Summary i</w:t>
      </w:r>
      <w:r w:rsidR="000F48C4" w:rsidRPr="002B7FB3">
        <w:rPr>
          <w:sz w:val="24"/>
          <w:szCs w:val="24"/>
        </w:rPr>
        <w:t xml:space="preserve">nformation on the </w:t>
      </w:r>
      <w:r w:rsidR="002200D3" w:rsidRPr="002B7FB3">
        <w:rPr>
          <w:sz w:val="24"/>
          <w:szCs w:val="24"/>
        </w:rPr>
        <w:t xml:space="preserve">fiscal transparency commitments in current Open Government Partnership </w:t>
      </w:r>
      <w:r w:rsidR="00822651">
        <w:rPr>
          <w:sz w:val="24"/>
          <w:szCs w:val="24"/>
        </w:rPr>
        <w:t xml:space="preserve">(OGP) </w:t>
      </w:r>
      <w:r w:rsidR="002200D3" w:rsidRPr="002B7FB3">
        <w:rPr>
          <w:sz w:val="24"/>
          <w:szCs w:val="24"/>
        </w:rPr>
        <w:t>Action Plans</w:t>
      </w:r>
      <w:r w:rsidR="000F48C4" w:rsidRPr="002B7FB3">
        <w:rPr>
          <w:sz w:val="24"/>
          <w:szCs w:val="24"/>
        </w:rPr>
        <w:t xml:space="preserve"> </w:t>
      </w:r>
      <w:bookmarkEnd w:id="2"/>
      <w:r w:rsidR="000F48C4" w:rsidRPr="002B7FB3">
        <w:rPr>
          <w:sz w:val="24"/>
          <w:szCs w:val="24"/>
        </w:rPr>
        <w:t>for the 1</w:t>
      </w:r>
      <w:r w:rsidR="002B3B06" w:rsidRPr="002B7FB3">
        <w:rPr>
          <w:sz w:val="24"/>
          <w:szCs w:val="24"/>
        </w:rPr>
        <w:t>7</w:t>
      </w:r>
      <w:r w:rsidR="000F48C4" w:rsidRPr="002B7FB3">
        <w:rPr>
          <w:sz w:val="24"/>
          <w:szCs w:val="24"/>
        </w:rPr>
        <w:t xml:space="preserve"> GIFT Stewards that are members of the OGP</w:t>
      </w:r>
      <w:r w:rsidR="002B7FB3" w:rsidRPr="002B7FB3">
        <w:rPr>
          <w:sz w:val="24"/>
          <w:szCs w:val="24"/>
        </w:rPr>
        <w:t xml:space="preserve">, </w:t>
      </w:r>
      <w:r w:rsidR="00485CC2">
        <w:rPr>
          <w:sz w:val="24"/>
          <w:szCs w:val="24"/>
        </w:rPr>
        <w:t xml:space="preserve">mapped to the GIFT High Level Principles, </w:t>
      </w:r>
      <w:r w:rsidR="002B7FB3" w:rsidRPr="002B7FB3">
        <w:rPr>
          <w:sz w:val="24"/>
          <w:szCs w:val="24"/>
        </w:rPr>
        <w:t>and</w:t>
      </w:r>
      <w:r w:rsidR="00F304C5" w:rsidRPr="002B7FB3">
        <w:rPr>
          <w:sz w:val="24"/>
          <w:szCs w:val="24"/>
        </w:rPr>
        <w:t xml:space="preserve"> cross-country patterns in commitments</w:t>
      </w:r>
      <w:r w:rsidR="00DB1541" w:rsidRPr="002B7FB3">
        <w:rPr>
          <w:sz w:val="24"/>
          <w:szCs w:val="24"/>
        </w:rPr>
        <w:t>.</w:t>
      </w:r>
    </w:p>
    <w:p w14:paraId="293478CB" w14:textId="45AE860A" w:rsidR="00241347" w:rsidRDefault="00241347" w:rsidP="008C3065">
      <w:pPr>
        <w:pStyle w:val="ListParagraph"/>
        <w:numPr>
          <w:ilvl w:val="0"/>
          <w:numId w:val="11"/>
        </w:numPr>
        <w:rPr>
          <w:sz w:val="24"/>
          <w:szCs w:val="24"/>
        </w:rPr>
      </w:pPr>
      <w:r>
        <w:rPr>
          <w:sz w:val="24"/>
          <w:szCs w:val="24"/>
        </w:rPr>
        <w:t>The text of fiscal transparency commitments in GIFT Steward</w:t>
      </w:r>
      <w:r w:rsidR="00974DAC">
        <w:rPr>
          <w:sz w:val="24"/>
          <w:szCs w:val="24"/>
        </w:rPr>
        <w:t>s’</w:t>
      </w:r>
      <w:r>
        <w:rPr>
          <w:sz w:val="24"/>
          <w:szCs w:val="24"/>
        </w:rPr>
        <w:t xml:space="preserve"> OGP Action Plans (Annex 1</w:t>
      </w:r>
      <w:r w:rsidR="00EA7718">
        <w:rPr>
          <w:sz w:val="24"/>
          <w:szCs w:val="24"/>
        </w:rPr>
        <w:t>, pp. 15-26</w:t>
      </w:r>
      <w:r>
        <w:rPr>
          <w:sz w:val="24"/>
          <w:szCs w:val="24"/>
        </w:rPr>
        <w:t>).</w:t>
      </w:r>
    </w:p>
    <w:p w14:paraId="615A5C29" w14:textId="50D5BE23" w:rsidR="005C093F" w:rsidRDefault="002B7FB3" w:rsidP="008C3065">
      <w:pPr>
        <w:pStyle w:val="ListParagraph"/>
        <w:numPr>
          <w:ilvl w:val="0"/>
          <w:numId w:val="11"/>
        </w:numPr>
        <w:rPr>
          <w:sz w:val="24"/>
          <w:szCs w:val="24"/>
        </w:rPr>
      </w:pPr>
      <w:bookmarkStart w:id="3" w:name="_Hlk525321479"/>
      <w:r>
        <w:rPr>
          <w:sz w:val="24"/>
          <w:szCs w:val="24"/>
        </w:rPr>
        <w:t>Some</w:t>
      </w:r>
      <w:bookmarkStart w:id="4" w:name="_Hlk498098766"/>
      <w:r>
        <w:rPr>
          <w:sz w:val="24"/>
          <w:szCs w:val="24"/>
        </w:rPr>
        <w:t xml:space="preserve"> notable practices in public participation in fiscal policy </w:t>
      </w:r>
      <w:r w:rsidR="00974DAC">
        <w:rPr>
          <w:sz w:val="24"/>
          <w:szCs w:val="24"/>
        </w:rPr>
        <w:t xml:space="preserve">by the executive branch </w:t>
      </w:r>
      <w:r>
        <w:rPr>
          <w:sz w:val="24"/>
          <w:szCs w:val="24"/>
        </w:rPr>
        <w:t xml:space="preserve">from the 2017 OBS </w:t>
      </w:r>
      <w:bookmarkEnd w:id="3"/>
      <w:r>
        <w:rPr>
          <w:sz w:val="24"/>
          <w:szCs w:val="24"/>
        </w:rPr>
        <w:t>(</w:t>
      </w:r>
      <w:r w:rsidR="00241347">
        <w:rPr>
          <w:sz w:val="24"/>
          <w:szCs w:val="24"/>
        </w:rPr>
        <w:t>A</w:t>
      </w:r>
      <w:r>
        <w:rPr>
          <w:sz w:val="24"/>
          <w:szCs w:val="24"/>
        </w:rPr>
        <w:t xml:space="preserve">nnex </w:t>
      </w:r>
      <w:r w:rsidR="00241347">
        <w:rPr>
          <w:sz w:val="24"/>
          <w:szCs w:val="24"/>
        </w:rPr>
        <w:t>2</w:t>
      </w:r>
      <w:r w:rsidR="00EA7718">
        <w:rPr>
          <w:sz w:val="24"/>
          <w:szCs w:val="24"/>
        </w:rPr>
        <w:t>, pp. 27-28</w:t>
      </w:r>
      <w:r>
        <w:rPr>
          <w:sz w:val="24"/>
          <w:szCs w:val="24"/>
        </w:rPr>
        <w:t>).</w:t>
      </w:r>
    </w:p>
    <w:p w14:paraId="08643D75" w14:textId="4BB7DE56" w:rsidR="00241347" w:rsidRDefault="00485CC2" w:rsidP="008C3065">
      <w:pPr>
        <w:pStyle w:val="ListParagraph"/>
        <w:numPr>
          <w:ilvl w:val="0"/>
          <w:numId w:val="11"/>
        </w:numPr>
        <w:rPr>
          <w:sz w:val="24"/>
          <w:szCs w:val="24"/>
        </w:rPr>
      </w:pPr>
      <w:r>
        <w:rPr>
          <w:sz w:val="24"/>
          <w:szCs w:val="24"/>
        </w:rPr>
        <w:t>Some OGP commitments on public participation generally, not related specifically to participation in fiscal policy</w:t>
      </w:r>
      <w:r w:rsidR="00013C8B">
        <w:rPr>
          <w:sz w:val="24"/>
          <w:szCs w:val="24"/>
        </w:rPr>
        <w:t xml:space="preserve"> (Annex 3</w:t>
      </w:r>
      <w:r w:rsidR="00EA7718">
        <w:rPr>
          <w:sz w:val="24"/>
          <w:szCs w:val="24"/>
        </w:rPr>
        <w:t>, p.29</w:t>
      </w:r>
      <w:r w:rsidR="00013C8B">
        <w:rPr>
          <w:sz w:val="24"/>
          <w:szCs w:val="24"/>
        </w:rPr>
        <w:t>)</w:t>
      </w:r>
      <w:r>
        <w:rPr>
          <w:sz w:val="24"/>
          <w:szCs w:val="24"/>
        </w:rPr>
        <w:t>.</w:t>
      </w:r>
    </w:p>
    <w:p w14:paraId="6F336842" w14:textId="77777777" w:rsidR="0007114E" w:rsidRDefault="0007114E" w:rsidP="00BE7188">
      <w:pPr>
        <w:rPr>
          <w:sz w:val="24"/>
          <w:szCs w:val="24"/>
        </w:rPr>
      </w:pPr>
    </w:p>
    <w:p w14:paraId="42BBA3D9" w14:textId="28A57983" w:rsidR="00BE7188" w:rsidRPr="00BE7188" w:rsidRDefault="003A2803" w:rsidP="00BE7188">
      <w:pPr>
        <w:rPr>
          <w:sz w:val="24"/>
          <w:szCs w:val="24"/>
        </w:rPr>
      </w:pPr>
      <w:r>
        <w:rPr>
          <w:sz w:val="24"/>
          <w:szCs w:val="24"/>
        </w:rPr>
        <w:lastRenderedPageBreak/>
        <w:t xml:space="preserve">A summary of the </w:t>
      </w:r>
      <w:r w:rsidR="00BE7188" w:rsidRPr="00BE7188">
        <w:rPr>
          <w:sz w:val="24"/>
          <w:szCs w:val="24"/>
        </w:rPr>
        <w:t xml:space="preserve">results </w:t>
      </w:r>
      <w:r w:rsidR="00BE7188">
        <w:rPr>
          <w:sz w:val="24"/>
          <w:szCs w:val="24"/>
        </w:rPr>
        <w:t xml:space="preserve">from the assessment </w:t>
      </w:r>
      <w:r>
        <w:rPr>
          <w:sz w:val="24"/>
          <w:szCs w:val="24"/>
        </w:rPr>
        <w:t>shows</w:t>
      </w:r>
      <w:r w:rsidR="00BE7188" w:rsidRPr="00BE7188">
        <w:rPr>
          <w:sz w:val="24"/>
          <w:szCs w:val="24"/>
        </w:rPr>
        <w:t>:</w:t>
      </w:r>
    </w:p>
    <w:p w14:paraId="3389A362" w14:textId="78FAF9D7" w:rsidR="00BE7188" w:rsidRPr="00BE7188" w:rsidRDefault="00BE7188" w:rsidP="00BE7188">
      <w:pPr>
        <w:numPr>
          <w:ilvl w:val="0"/>
          <w:numId w:val="23"/>
        </w:numPr>
        <w:rPr>
          <w:sz w:val="24"/>
          <w:szCs w:val="24"/>
        </w:rPr>
      </w:pPr>
      <w:r w:rsidRPr="00BE7188">
        <w:rPr>
          <w:sz w:val="24"/>
          <w:szCs w:val="24"/>
        </w:rPr>
        <w:t xml:space="preserve">Major improvements from a country’s first </w:t>
      </w:r>
      <w:r>
        <w:rPr>
          <w:sz w:val="24"/>
          <w:szCs w:val="24"/>
        </w:rPr>
        <w:t xml:space="preserve">OBS </w:t>
      </w:r>
      <w:r w:rsidRPr="00BE7188">
        <w:rPr>
          <w:sz w:val="24"/>
          <w:szCs w:val="24"/>
        </w:rPr>
        <w:t xml:space="preserve">survey to the 2017 survey were made by the Dominican Republic (54 points on the OBI), Benin (38), </w:t>
      </w:r>
      <w:r w:rsidR="004965BE">
        <w:rPr>
          <w:sz w:val="24"/>
          <w:szCs w:val="24"/>
        </w:rPr>
        <w:t xml:space="preserve">Liberia (33), </w:t>
      </w:r>
      <w:r w:rsidRPr="00BE7188">
        <w:rPr>
          <w:sz w:val="24"/>
          <w:szCs w:val="24"/>
        </w:rPr>
        <w:t>Mexico (29), Tunisia (28), and Indonesia</w:t>
      </w:r>
      <w:r w:rsidR="004965BE">
        <w:rPr>
          <w:sz w:val="24"/>
          <w:szCs w:val="24"/>
        </w:rPr>
        <w:t xml:space="preserve"> and Egypt</w:t>
      </w:r>
      <w:r w:rsidRPr="00BE7188">
        <w:rPr>
          <w:sz w:val="24"/>
          <w:szCs w:val="24"/>
        </w:rPr>
        <w:t xml:space="preserve"> (22).</w:t>
      </w:r>
    </w:p>
    <w:p w14:paraId="424DC17D" w14:textId="538CD56E" w:rsidR="00BE7188" w:rsidRPr="00BE7188" w:rsidRDefault="00BE7188" w:rsidP="00BE7188">
      <w:pPr>
        <w:numPr>
          <w:ilvl w:val="0"/>
          <w:numId w:val="23"/>
        </w:numPr>
        <w:rPr>
          <w:sz w:val="24"/>
          <w:szCs w:val="24"/>
        </w:rPr>
      </w:pPr>
      <w:r w:rsidRPr="00BE7188">
        <w:rPr>
          <w:sz w:val="24"/>
          <w:szCs w:val="24"/>
        </w:rPr>
        <w:t xml:space="preserve">Significant improvements between the 2015 and 2017 surveys were made by </w:t>
      </w:r>
      <w:r w:rsidR="004965BE">
        <w:rPr>
          <w:sz w:val="24"/>
          <w:szCs w:val="24"/>
        </w:rPr>
        <w:t xml:space="preserve">Egypt (25), </w:t>
      </w:r>
      <w:r w:rsidRPr="00BE7188">
        <w:rPr>
          <w:sz w:val="24"/>
          <w:szCs w:val="24"/>
        </w:rPr>
        <w:t>the Dominican Republic (15), Guatemala (15), Mexico (13) and Ukraine (8).</w:t>
      </w:r>
    </w:p>
    <w:p w14:paraId="3C04BEEA" w14:textId="77777777" w:rsidR="00BE7188" w:rsidRPr="00BE7188" w:rsidRDefault="00BE7188" w:rsidP="00BE7188">
      <w:pPr>
        <w:numPr>
          <w:ilvl w:val="0"/>
          <w:numId w:val="23"/>
        </w:numPr>
        <w:rPr>
          <w:sz w:val="24"/>
          <w:szCs w:val="24"/>
        </w:rPr>
      </w:pPr>
      <w:r w:rsidRPr="00BE7188">
        <w:rPr>
          <w:sz w:val="24"/>
          <w:szCs w:val="24"/>
        </w:rPr>
        <w:t xml:space="preserve">Significant declines from a country’s first survey to the 2017 survey were registered by Chile (-15), and Colombia (-7). </w:t>
      </w:r>
    </w:p>
    <w:p w14:paraId="1D1CDD11" w14:textId="77777777" w:rsidR="00BE7188" w:rsidRPr="00BE7188" w:rsidRDefault="00BE7188" w:rsidP="00BE7188">
      <w:pPr>
        <w:numPr>
          <w:ilvl w:val="0"/>
          <w:numId w:val="23"/>
        </w:numPr>
        <w:rPr>
          <w:sz w:val="24"/>
          <w:szCs w:val="24"/>
        </w:rPr>
      </w:pPr>
      <w:r w:rsidRPr="00BE7188">
        <w:rPr>
          <w:sz w:val="24"/>
          <w:szCs w:val="24"/>
        </w:rPr>
        <w:t xml:space="preserve">Significant declines between the 2015 and 2017 surveys were registered by Argentina (-9), El Salvador (-8), Colombia (-7), Nigeria (-7), and Benin (-6). </w:t>
      </w:r>
    </w:p>
    <w:p w14:paraId="7759A8A5" w14:textId="40E89599" w:rsidR="00BE7188" w:rsidRPr="00BE7188" w:rsidRDefault="004965BE" w:rsidP="00BE7188">
      <w:pPr>
        <w:numPr>
          <w:ilvl w:val="0"/>
          <w:numId w:val="23"/>
        </w:numPr>
        <w:rPr>
          <w:sz w:val="24"/>
          <w:szCs w:val="24"/>
        </w:rPr>
      </w:pPr>
      <w:r>
        <w:rPr>
          <w:sz w:val="24"/>
          <w:szCs w:val="24"/>
        </w:rPr>
        <w:t>Twelve</w:t>
      </w:r>
      <w:r w:rsidR="00BE7188" w:rsidRPr="00BE7188">
        <w:rPr>
          <w:sz w:val="24"/>
          <w:szCs w:val="24"/>
        </w:rPr>
        <w:t xml:space="preserve"> of the 18 countries (</w:t>
      </w:r>
      <w:r>
        <w:rPr>
          <w:sz w:val="24"/>
          <w:szCs w:val="24"/>
        </w:rPr>
        <w:t>60</w:t>
      </w:r>
      <w:r w:rsidR="00BE7188" w:rsidRPr="00BE7188">
        <w:rPr>
          <w:sz w:val="24"/>
          <w:szCs w:val="24"/>
        </w:rPr>
        <w:t>%) failed to provide what the International Budget Partnership defines as ‘</w:t>
      </w:r>
      <w:proofErr w:type="gramStart"/>
      <w:r w:rsidR="00BE7188" w:rsidRPr="00BE7188">
        <w:rPr>
          <w:sz w:val="24"/>
          <w:szCs w:val="24"/>
        </w:rPr>
        <w:t>sufficient</w:t>
      </w:r>
      <w:proofErr w:type="gramEnd"/>
      <w:r w:rsidR="00BE7188" w:rsidRPr="00BE7188">
        <w:rPr>
          <w:sz w:val="24"/>
          <w:szCs w:val="24"/>
        </w:rPr>
        <w:t xml:space="preserve"> information to the public on their national budgets’ i.e. they received scores of 60 or less on the Open Budget Index (OBI). This compares to 75% of all countries in the 2017 OBS.</w:t>
      </w:r>
    </w:p>
    <w:p w14:paraId="45A7A91E" w14:textId="77777777" w:rsidR="00BE7188" w:rsidRPr="00BE7188" w:rsidRDefault="00BE7188" w:rsidP="00BE7188">
      <w:pPr>
        <w:numPr>
          <w:ilvl w:val="0"/>
          <w:numId w:val="23"/>
        </w:numPr>
        <w:rPr>
          <w:sz w:val="24"/>
          <w:szCs w:val="24"/>
        </w:rPr>
      </w:pPr>
      <w:r w:rsidRPr="00BE7188">
        <w:rPr>
          <w:sz w:val="24"/>
          <w:szCs w:val="24"/>
        </w:rPr>
        <w:t>Only South Africa reaches the IBP’s threshold of publishing ‘extensive information on the budget.’</w:t>
      </w:r>
    </w:p>
    <w:p w14:paraId="4C0FC262" w14:textId="084DF9D6" w:rsidR="00BE7188" w:rsidRDefault="00BE7188" w:rsidP="00BE7188">
      <w:pPr>
        <w:numPr>
          <w:ilvl w:val="0"/>
          <w:numId w:val="23"/>
        </w:numPr>
        <w:rPr>
          <w:sz w:val="24"/>
          <w:szCs w:val="24"/>
        </w:rPr>
      </w:pPr>
      <w:r w:rsidRPr="00BE7188">
        <w:rPr>
          <w:sz w:val="24"/>
          <w:szCs w:val="24"/>
        </w:rPr>
        <w:t>Tunisia did not publish the audit report</w:t>
      </w:r>
      <w:r w:rsidR="006704FF">
        <w:rPr>
          <w:sz w:val="24"/>
          <w:szCs w:val="24"/>
        </w:rPr>
        <w:t xml:space="preserve"> as at the end of 2016</w:t>
      </w:r>
      <w:r w:rsidRPr="00BE7188">
        <w:rPr>
          <w:sz w:val="24"/>
          <w:szCs w:val="24"/>
        </w:rPr>
        <w:t>, one of the two most basic documents for budget transparency, and a minimum requirement for membership of the OGP.</w:t>
      </w:r>
    </w:p>
    <w:p w14:paraId="2222AED8" w14:textId="28DB648D" w:rsidR="00974C43" w:rsidRDefault="0007114E" w:rsidP="00BE7188">
      <w:pPr>
        <w:numPr>
          <w:ilvl w:val="0"/>
          <w:numId w:val="23"/>
        </w:numPr>
        <w:rPr>
          <w:sz w:val="24"/>
          <w:szCs w:val="24"/>
        </w:rPr>
      </w:pPr>
      <w:r>
        <w:rPr>
          <w:sz w:val="24"/>
          <w:szCs w:val="24"/>
        </w:rPr>
        <w:t xml:space="preserve">Sixty seven </w:t>
      </w:r>
      <w:r w:rsidR="006704FF">
        <w:rPr>
          <w:sz w:val="24"/>
          <w:szCs w:val="24"/>
        </w:rPr>
        <w:t>percent</w:t>
      </w:r>
      <w:r w:rsidR="00837B05">
        <w:rPr>
          <w:sz w:val="24"/>
          <w:szCs w:val="24"/>
        </w:rPr>
        <w:t xml:space="preserve"> (1</w:t>
      </w:r>
      <w:r w:rsidR="008B066D">
        <w:rPr>
          <w:sz w:val="24"/>
          <w:szCs w:val="24"/>
        </w:rPr>
        <w:t>2</w:t>
      </w:r>
      <w:r w:rsidR="00837B05">
        <w:rPr>
          <w:sz w:val="24"/>
          <w:szCs w:val="24"/>
        </w:rPr>
        <w:t xml:space="preserve"> out of </w:t>
      </w:r>
      <w:r w:rsidR="008B066D">
        <w:rPr>
          <w:sz w:val="24"/>
          <w:szCs w:val="24"/>
        </w:rPr>
        <w:t>18</w:t>
      </w:r>
      <w:r w:rsidR="00837B05">
        <w:rPr>
          <w:sz w:val="24"/>
          <w:szCs w:val="24"/>
        </w:rPr>
        <w:t xml:space="preserve">) </w:t>
      </w:r>
      <w:r w:rsidR="00974C43" w:rsidRPr="00974C43">
        <w:rPr>
          <w:sz w:val="24"/>
          <w:szCs w:val="24"/>
        </w:rPr>
        <w:t>of GIFT government stewards have a budget transparency gap of more than 20 points on the OBI against their global peer group leader.</w:t>
      </w:r>
    </w:p>
    <w:p w14:paraId="54E56813" w14:textId="67563294" w:rsidR="00974C43" w:rsidRPr="00974C43" w:rsidRDefault="00847FCA" w:rsidP="00974C43">
      <w:pPr>
        <w:numPr>
          <w:ilvl w:val="0"/>
          <w:numId w:val="23"/>
        </w:numPr>
        <w:rPr>
          <w:sz w:val="24"/>
          <w:szCs w:val="24"/>
        </w:rPr>
      </w:pPr>
      <w:r>
        <w:rPr>
          <w:sz w:val="24"/>
          <w:szCs w:val="24"/>
        </w:rPr>
        <w:t>From the 2017 OBS, f</w:t>
      </w:r>
      <w:r w:rsidR="00974C43" w:rsidRPr="00974C43">
        <w:rPr>
          <w:sz w:val="24"/>
          <w:szCs w:val="24"/>
        </w:rPr>
        <w:t>our GIFT steward governments achieve a significant amount of public participation by the executive branch (in effect, by the ministry of finance or equivalent). These are the Philippines (41), Mexico (39), South Africa (24) and Guatemala (21).</w:t>
      </w:r>
    </w:p>
    <w:p w14:paraId="70B286FF" w14:textId="33FED35E" w:rsidR="00974C43" w:rsidRDefault="00974C43" w:rsidP="00974C43">
      <w:pPr>
        <w:numPr>
          <w:ilvl w:val="0"/>
          <w:numId w:val="23"/>
        </w:numPr>
        <w:rPr>
          <w:sz w:val="24"/>
          <w:szCs w:val="24"/>
        </w:rPr>
      </w:pPr>
      <w:r w:rsidRPr="00974C43">
        <w:rPr>
          <w:sz w:val="24"/>
          <w:szCs w:val="24"/>
        </w:rPr>
        <w:t>On the other hand, nine steward governments have scores of zero or near zero for public participation by the executive branch</w:t>
      </w:r>
      <w:r w:rsidR="00847FCA">
        <w:rPr>
          <w:sz w:val="24"/>
          <w:szCs w:val="24"/>
        </w:rPr>
        <w:t xml:space="preserve">, </w:t>
      </w:r>
      <w:r w:rsidRPr="00974C43">
        <w:rPr>
          <w:sz w:val="24"/>
          <w:szCs w:val="24"/>
        </w:rPr>
        <w:t>representing major scope for improvement.</w:t>
      </w:r>
    </w:p>
    <w:p w14:paraId="51FF97BC" w14:textId="02E1AEB1" w:rsidR="00F94DED" w:rsidRDefault="00F94DED" w:rsidP="00974C43">
      <w:pPr>
        <w:numPr>
          <w:ilvl w:val="0"/>
          <w:numId w:val="23"/>
        </w:numPr>
        <w:rPr>
          <w:sz w:val="24"/>
          <w:szCs w:val="24"/>
        </w:rPr>
      </w:pPr>
      <w:r>
        <w:rPr>
          <w:sz w:val="24"/>
          <w:szCs w:val="24"/>
        </w:rPr>
        <w:t>Published PEFA reports show</w:t>
      </w:r>
      <w:r w:rsidRPr="00F94DED">
        <w:rPr>
          <w:sz w:val="24"/>
          <w:szCs w:val="24"/>
        </w:rPr>
        <w:t xml:space="preserve"> improvements in </w:t>
      </w:r>
      <w:r>
        <w:rPr>
          <w:sz w:val="24"/>
          <w:szCs w:val="24"/>
        </w:rPr>
        <w:t xml:space="preserve">the public availability of key fiscal information </w:t>
      </w:r>
      <w:r w:rsidR="006E17A1">
        <w:rPr>
          <w:sz w:val="24"/>
          <w:szCs w:val="24"/>
        </w:rPr>
        <w:t xml:space="preserve">in </w:t>
      </w:r>
      <w:r w:rsidRPr="00F94DED">
        <w:rPr>
          <w:sz w:val="24"/>
          <w:szCs w:val="24"/>
        </w:rPr>
        <w:t xml:space="preserve">Colombia, the Dominican Republic, Indonesia, </w:t>
      </w:r>
      <w:r w:rsidR="006704FF">
        <w:rPr>
          <w:sz w:val="24"/>
          <w:szCs w:val="24"/>
        </w:rPr>
        <w:t xml:space="preserve">Liberia, </w:t>
      </w:r>
      <w:r w:rsidRPr="00F94DED">
        <w:rPr>
          <w:sz w:val="24"/>
          <w:szCs w:val="24"/>
        </w:rPr>
        <w:t xml:space="preserve">and the Philippines, and stable (or single) top scores for Brazil, Guatemala, and South Africa. Declining public access to key fiscal information has been reported for Benin, Paraguay and Tunisia. Finally, </w:t>
      </w:r>
      <w:r w:rsidR="006704FF">
        <w:rPr>
          <w:sz w:val="24"/>
          <w:szCs w:val="24"/>
        </w:rPr>
        <w:t>four</w:t>
      </w:r>
      <w:r w:rsidRPr="00F94DED">
        <w:rPr>
          <w:sz w:val="24"/>
          <w:szCs w:val="24"/>
        </w:rPr>
        <w:t xml:space="preserve"> countries – Benin, </w:t>
      </w:r>
      <w:r w:rsidR="006704FF">
        <w:rPr>
          <w:sz w:val="24"/>
          <w:szCs w:val="24"/>
        </w:rPr>
        <w:t xml:space="preserve">Egypt, </w:t>
      </w:r>
      <w:r w:rsidRPr="00F94DED">
        <w:rPr>
          <w:sz w:val="24"/>
          <w:szCs w:val="24"/>
        </w:rPr>
        <w:t xml:space="preserve">Nigeria and Uruguay - </w:t>
      </w:r>
      <w:r w:rsidRPr="00F94DED">
        <w:rPr>
          <w:sz w:val="24"/>
          <w:szCs w:val="24"/>
        </w:rPr>
        <w:lastRenderedPageBreak/>
        <w:t>have assessments that have not been published</w:t>
      </w:r>
      <w:r w:rsidR="006E17A1">
        <w:rPr>
          <w:sz w:val="24"/>
          <w:szCs w:val="24"/>
        </w:rPr>
        <w:t xml:space="preserve"> (p</w:t>
      </w:r>
      <w:r w:rsidRPr="00F94DED">
        <w:rPr>
          <w:sz w:val="24"/>
          <w:szCs w:val="24"/>
        </w:rPr>
        <w:t>ublication requires consent of the country authorities</w:t>
      </w:r>
      <w:r w:rsidR="006E17A1">
        <w:rPr>
          <w:sz w:val="24"/>
          <w:szCs w:val="24"/>
        </w:rPr>
        <w:t>).</w:t>
      </w:r>
    </w:p>
    <w:p w14:paraId="4A817651" w14:textId="632EF20E" w:rsidR="006704FF" w:rsidRDefault="006704FF" w:rsidP="00974C43">
      <w:pPr>
        <w:numPr>
          <w:ilvl w:val="0"/>
          <w:numId w:val="23"/>
        </w:numPr>
        <w:rPr>
          <w:sz w:val="24"/>
          <w:szCs w:val="24"/>
        </w:rPr>
      </w:pPr>
      <w:r>
        <w:rPr>
          <w:sz w:val="24"/>
          <w:szCs w:val="24"/>
        </w:rPr>
        <w:t>The U.S. State Department</w:t>
      </w:r>
      <w:r w:rsidR="00070267">
        <w:rPr>
          <w:sz w:val="24"/>
          <w:szCs w:val="24"/>
        </w:rPr>
        <w:t>’s Fiscal Transparency Report 2018 assessed 13 GIFT steward governments as meeting its minimum requirements of fiscal transparency, while 6 stewards and partners did not meet its minimum requirements. Of those 6, Benin, the Dominican Republic, Egypt and Liberia were assessed as making significant progress in 2017 towards meeting the minimum requirements, while Nigeria and Ukraine were as assessed as not making significant progress.</w:t>
      </w:r>
    </w:p>
    <w:p w14:paraId="5B367DE0" w14:textId="3AE83E43" w:rsidR="006B6D38" w:rsidRDefault="006B6D38" w:rsidP="006B6D38">
      <w:pPr>
        <w:numPr>
          <w:ilvl w:val="0"/>
          <w:numId w:val="23"/>
        </w:numPr>
        <w:rPr>
          <w:sz w:val="24"/>
          <w:szCs w:val="24"/>
        </w:rPr>
      </w:pPr>
      <w:r>
        <w:rPr>
          <w:sz w:val="24"/>
          <w:szCs w:val="24"/>
        </w:rPr>
        <w:t>Analysis of the O</w:t>
      </w:r>
      <w:r w:rsidR="00822651">
        <w:rPr>
          <w:sz w:val="24"/>
          <w:szCs w:val="24"/>
        </w:rPr>
        <w:t>GP Action Plans of GIFT stewards finds that m</w:t>
      </w:r>
      <w:r w:rsidRPr="006B6D38">
        <w:rPr>
          <w:sz w:val="24"/>
          <w:szCs w:val="24"/>
        </w:rPr>
        <w:t xml:space="preserve">ost of the commitments are related to HLP 3 (disclosure of past, present and forecast fiscal information), HLP 4 (transparency of outputs, mainly of public services), and HLP 10 (direct public participation in fiscal policy design and implementation). </w:t>
      </w:r>
    </w:p>
    <w:p w14:paraId="7AA971BF" w14:textId="6131A40C" w:rsidR="00696AFA" w:rsidRPr="0025534A" w:rsidRDefault="00696AFA" w:rsidP="0025534A">
      <w:pPr>
        <w:pStyle w:val="ListParagraph"/>
        <w:numPr>
          <w:ilvl w:val="0"/>
          <w:numId w:val="23"/>
        </w:numPr>
        <w:rPr>
          <w:sz w:val="24"/>
          <w:szCs w:val="24"/>
        </w:rPr>
      </w:pPr>
      <w:r w:rsidRPr="00696AFA">
        <w:rPr>
          <w:sz w:val="24"/>
          <w:szCs w:val="24"/>
        </w:rPr>
        <w:t xml:space="preserve">Approaches that attempt to institutionalise reforms include 5 commitments under HLP 5 (the rule of law in public financial management), and 13 commitments that refer to adhering to specific international fiscal transparency standards (e.g. EITI, Open Contracting, </w:t>
      </w:r>
      <w:proofErr w:type="spellStart"/>
      <w:r w:rsidRPr="00696AFA">
        <w:rPr>
          <w:sz w:val="24"/>
          <w:szCs w:val="24"/>
        </w:rPr>
        <w:t>CoST</w:t>
      </w:r>
      <w:proofErr w:type="spellEnd"/>
      <w:r w:rsidRPr="00696AFA">
        <w:rPr>
          <w:sz w:val="24"/>
          <w:szCs w:val="24"/>
        </w:rPr>
        <w:t>,</w:t>
      </w:r>
      <w:r w:rsidRPr="000A192C">
        <w:t xml:space="preserve"> </w:t>
      </w:r>
      <w:r w:rsidRPr="00696AFA">
        <w:rPr>
          <w:sz w:val="24"/>
          <w:szCs w:val="24"/>
        </w:rPr>
        <w:t>and the OECD Global Tax Transparency Forum).</w:t>
      </w:r>
    </w:p>
    <w:p w14:paraId="5487D650" w14:textId="47134ACD" w:rsidR="006B6D38" w:rsidRPr="007D071B" w:rsidRDefault="006B6D38" w:rsidP="00706292">
      <w:pPr>
        <w:numPr>
          <w:ilvl w:val="0"/>
          <w:numId w:val="23"/>
        </w:numPr>
        <w:rPr>
          <w:sz w:val="24"/>
          <w:szCs w:val="24"/>
        </w:rPr>
      </w:pPr>
      <w:r w:rsidRPr="007D071B">
        <w:rPr>
          <w:sz w:val="24"/>
          <w:szCs w:val="24"/>
        </w:rPr>
        <w:t xml:space="preserve">The areas with minimal or no commitments are a citizen right to fiscal information (HLP 1), transparency of macro-fiscal policy (HLP 3), legislative oversight (HLP 8), and independent audit (HLP 9). </w:t>
      </w:r>
    </w:p>
    <w:p w14:paraId="1E582BD6" w14:textId="700DB35D" w:rsidR="00641A7A" w:rsidRPr="00725D04" w:rsidRDefault="00641A7A" w:rsidP="00725D04">
      <w:pPr>
        <w:pStyle w:val="ListParagraph"/>
        <w:numPr>
          <w:ilvl w:val="0"/>
          <w:numId w:val="21"/>
        </w:numPr>
        <w:rPr>
          <w:b/>
          <w:sz w:val="24"/>
          <w:szCs w:val="24"/>
        </w:rPr>
      </w:pPr>
      <w:bookmarkStart w:id="5" w:name="_Hlk525234224"/>
      <w:r w:rsidRPr="00725D04">
        <w:rPr>
          <w:b/>
          <w:sz w:val="24"/>
          <w:szCs w:val="24"/>
        </w:rPr>
        <w:t xml:space="preserve">Stewards’ </w:t>
      </w:r>
      <w:r w:rsidR="00383CEB">
        <w:rPr>
          <w:b/>
          <w:sz w:val="24"/>
          <w:szCs w:val="24"/>
        </w:rPr>
        <w:t xml:space="preserve">and Partners’ </w:t>
      </w:r>
      <w:r w:rsidRPr="00725D04">
        <w:rPr>
          <w:b/>
          <w:sz w:val="24"/>
          <w:szCs w:val="24"/>
        </w:rPr>
        <w:t>performance on the Open Budget Survey</w:t>
      </w:r>
    </w:p>
    <w:bookmarkEnd w:id="5"/>
    <w:p w14:paraId="57BD89C1" w14:textId="138DFD89" w:rsidR="00AA5394" w:rsidRDefault="00191D69" w:rsidP="006D47E7">
      <w:pPr>
        <w:rPr>
          <w:sz w:val="24"/>
          <w:szCs w:val="24"/>
        </w:rPr>
      </w:pPr>
      <w:r>
        <w:rPr>
          <w:sz w:val="24"/>
          <w:szCs w:val="24"/>
        </w:rPr>
        <w:t>A</w:t>
      </w:r>
      <w:r w:rsidR="00641A7A">
        <w:rPr>
          <w:sz w:val="24"/>
          <w:szCs w:val="24"/>
        </w:rPr>
        <w:t xml:space="preserve">ll </w:t>
      </w:r>
      <w:r w:rsidR="006D47E7">
        <w:rPr>
          <w:sz w:val="24"/>
          <w:szCs w:val="24"/>
        </w:rPr>
        <w:t>GIFT Steward</w:t>
      </w:r>
      <w:r w:rsidR="00641A7A">
        <w:rPr>
          <w:sz w:val="24"/>
          <w:szCs w:val="24"/>
        </w:rPr>
        <w:t xml:space="preserve"> </w:t>
      </w:r>
      <w:r w:rsidR="004B4376">
        <w:rPr>
          <w:sz w:val="24"/>
          <w:szCs w:val="24"/>
        </w:rPr>
        <w:t xml:space="preserve">countries </w:t>
      </w:r>
      <w:r w:rsidR="00641A7A">
        <w:rPr>
          <w:sz w:val="24"/>
          <w:szCs w:val="24"/>
        </w:rPr>
        <w:t>are</w:t>
      </w:r>
      <w:r w:rsidR="006D47E7">
        <w:rPr>
          <w:sz w:val="24"/>
          <w:szCs w:val="24"/>
        </w:rPr>
        <w:t xml:space="preserve"> </w:t>
      </w:r>
      <w:r w:rsidR="00AA5394">
        <w:rPr>
          <w:sz w:val="24"/>
          <w:szCs w:val="24"/>
        </w:rPr>
        <w:t xml:space="preserve">included in the </w:t>
      </w:r>
      <w:r w:rsidR="00641A7A">
        <w:rPr>
          <w:sz w:val="24"/>
          <w:szCs w:val="24"/>
        </w:rPr>
        <w:t>biennial Open Budget Survey</w:t>
      </w:r>
      <w:r w:rsidR="004B4376">
        <w:rPr>
          <w:sz w:val="24"/>
          <w:szCs w:val="24"/>
        </w:rPr>
        <w:t xml:space="preserve">, </w:t>
      </w:r>
      <w:proofErr w:type="gramStart"/>
      <w:r w:rsidR="004B4376">
        <w:rPr>
          <w:sz w:val="24"/>
          <w:szCs w:val="24"/>
        </w:rPr>
        <w:t>w</w:t>
      </w:r>
      <w:r w:rsidR="004B4376" w:rsidRPr="004B4376">
        <w:rPr>
          <w:sz w:val="24"/>
          <w:szCs w:val="24"/>
        </w:rPr>
        <w:t>ith the exception of</w:t>
      </w:r>
      <w:proofErr w:type="gramEnd"/>
      <w:r w:rsidR="004B4376" w:rsidRPr="004B4376">
        <w:rPr>
          <w:sz w:val="24"/>
          <w:szCs w:val="24"/>
        </w:rPr>
        <w:t xml:space="preserve"> Uruguay</w:t>
      </w:r>
      <w:r w:rsidR="00641A7A">
        <w:rPr>
          <w:sz w:val="24"/>
          <w:szCs w:val="24"/>
        </w:rPr>
        <w:t>.</w:t>
      </w:r>
      <w:r w:rsidR="00D30EA4">
        <w:rPr>
          <w:sz w:val="24"/>
          <w:szCs w:val="24"/>
        </w:rPr>
        <w:t xml:space="preserve"> </w:t>
      </w:r>
      <w:r w:rsidR="005267C9">
        <w:rPr>
          <w:sz w:val="24"/>
          <w:szCs w:val="24"/>
        </w:rPr>
        <w:t>The survey also covers</w:t>
      </w:r>
      <w:r w:rsidR="00B75AB9">
        <w:rPr>
          <w:sz w:val="24"/>
          <w:szCs w:val="24"/>
        </w:rPr>
        <w:t xml:space="preserve"> Egypt and Liberia, two GIFT Partner governments. </w:t>
      </w:r>
      <w:r w:rsidR="00D30EA4">
        <w:rPr>
          <w:sz w:val="24"/>
          <w:szCs w:val="24"/>
        </w:rPr>
        <w:t xml:space="preserve">Table 1 shows </w:t>
      </w:r>
      <w:r w:rsidR="00915D46">
        <w:rPr>
          <w:sz w:val="24"/>
          <w:szCs w:val="24"/>
        </w:rPr>
        <w:t xml:space="preserve">the scores on the Open Budget Index for each </w:t>
      </w:r>
      <w:r w:rsidR="004B4376">
        <w:rPr>
          <w:sz w:val="24"/>
          <w:szCs w:val="24"/>
        </w:rPr>
        <w:t>survey</w:t>
      </w:r>
      <w:r w:rsidR="003211F5">
        <w:rPr>
          <w:sz w:val="24"/>
          <w:szCs w:val="24"/>
        </w:rPr>
        <w:t xml:space="preserve">, as well as the change </w:t>
      </w:r>
      <w:r w:rsidR="004B4376">
        <w:rPr>
          <w:sz w:val="24"/>
          <w:szCs w:val="24"/>
        </w:rPr>
        <w:t xml:space="preserve">in the OBI </w:t>
      </w:r>
      <w:r w:rsidR="003211F5">
        <w:rPr>
          <w:sz w:val="24"/>
          <w:szCs w:val="24"/>
        </w:rPr>
        <w:t>from the first to last surveys, and the change from the 2015 to 2017 surveys.</w:t>
      </w:r>
      <w:r w:rsidR="0098077D">
        <w:rPr>
          <w:sz w:val="24"/>
          <w:szCs w:val="24"/>
        </w:rPr>
        <w:t xml:space="preserve"> Improved scores are in green, declines in red.</w:t>
      </w:r>
    </w:p>
    <w:p w14:paraId="494426F1" w14:textId="73A752C9" w:rsidR="006C3DB9" w:rsidRDefault="006C3DB9" w:rsidP="006D47E7">
      <w:pPr>
        <w:rPr>
          <w:sz w:val="24"/>
          <w:szCs w:val="24"/>
        </w:rPr>
      </w:pPr>
      <w:r w:rsidRPr="004B4376">
        <w:rPr>
          <w:sz w:val="24"/>
          <w:szCs w:val="24"/>
        </w:rPr>
        <w:t>Figure 1 displays the pattern of changes in scores between the 2015 and 2017 surveys</w:t>
      </w:r>
      <w:r>
        <w:rPr>
          <w:sz w:val="24"/>
          <w:szCs w:val="24"/>
        </w:rPr>
        <w:t xml:space="preserve"> -</w:t>
      </w:r>
      <w:r w:rsidRPr="004B4376">
        <w:rPr>
          <w:sz w:val="24"/>
          <w:szCs w:val="24"/>
        </w:rPr>
        <w:t xml:space="preserve"> </w:t>
      </w:r>
      <w:proofErr w:type="gramStart"/>
      <w:r w:rsidRPr="004B4376">
        <w:rPr>
          <w:sz w:val="24"/>
          <w:szCs w:val="24"/>
        </w:rPr>
        <w:t xml:space="preserve">a </w:t>
      </w:r>
      <w:r>
        <w:rPr>
          <w:sz w:val="24"/>
          <w:szCs w:val="24"/>
        </w:rPr>
        <w:t>number of</w:t>
      </w:r>
      <w:proofErr w:type="gramEnd"/>
      <w:r>
        <w:rPr>
          <w:sz w:val="24"/>
          <w:szCs w:val="24"/>
        </w:rPr>
        <w:t xml:space="preserve"> impressive gains in budget transparency, alongside a perhaps surprising </w:t>
      </w:r>
      <w:r w:rsidRPr="004B4376">
        <w:rPr>
          <w:sz w:val="24"/>
          <w:szCs w:val="24"/>
        </w:rPr>
        <w:t>number of</w:t>
      </w:r>
      <w:r>
        <w:rPr>
          <w:sz w:val="24"/>
          <w:szCs w:val="24"/>
        </w:rPr>
        <w:t xml:space="preserve"> countries for which the OBI fell between in the most recent period measured by the </w:t>
      </w:r>
      <w:r w:rsidRPr="004B4376">
        <w:rPr>
          <w:sz w:val="24"/>
          <w:szCs w:val="24"/>
        </w:rPr>
        <w:t xml:space="preserve">survey.  </w:t>
      </w:r>
    </w:p>
    <w:p w14:paraId="751FDB0F" w14:textId="77777777" w:rsidR="006C3DB9" w:rsidRDefault="006C3DB9">
      <w:pPr>
        <w:rPr>
          <w:sz w:val="24"/>
          <w:szCs w:val="24"/>
        </w:rPr>
      </w:pPr>
      <w:r>
        <w:rPr>
          <w:sz w:val="24"/>
          <w:szCs w:val="24"/>
        </w:rPr>
        <w:br w:type="page"/>
      </w:r>
    </w:p>
    <w:p w14:paraId="405956F1" w14:textId="12A726AA" w:rsidR="00D30EA4" w:rsidRDefault="0098077D" w:rsidP="002357E2">
      <w:pPr>
        <w:rPr>
          <w:b/>
          <w:sz w:val="24"/>
          <w:szCs w:val="24"/>
        </w:rPr>
      </w:pPr>
      <w:bookmarkStart w:id="6" w:name="_Hlk525288926"/>
      <w:bookmarkEnd w:id="4"/>
      <w:r>
        <w:rPr>
          <w:b/>
          <w:sz w:val="24"/>
          <w:szCs w:val="24"/>
        </w:rPr>
        <w:lastRenderedPageBreak/>
        <w:t xml:space="preserve">Table 1: </w:t>
      </w:r>
      <w:r w:rsidRPr="0098077D">
        <w:rPr>
          <w:b/>
          <w:sz w:val="24"/>
          <w:szCs w:val="24"/>
        </w:rPr>
        <w:t xml:space="preserve">Stewards’ </w:t>
      </w:r>
      <w:r w:rsidR="00383CEB">
        <w:rPr>
          <w:b/>
          <w:sz w:val="24"/>
          <w:szCs w:val="24"/>
        </w:rPr>
        <w:t xml:space="preserve">and Partners’ </w:t>
      </w:r>
      <w:r w:rsidRPr="0098077D">
        <w:rPr>
          <w:b/>
          <w:sz w:val="24"/>
          <w:szCs w:val="24"/>
        </w:rPr>
        <w:t xml:space="preserve">performance on the Open Budget </w:t>
      </w:r>
      <w:r>
        <w:rPr>
          <w:b/>
          <w:sz w:val="24"/>
          <w:szCs w:val="24"/>
        </w:rPr>
        <w:t>Index</w:t>
      </w:r>
    </w:p>
    <w:tbl>
      <w:tblPr>
        <w:tblW w:w="10044" w:type="dxa"/>
        <w:tblLook w:val="04A0" w:firstRow="1" w:lastRow="0" w:firstColumn="1" w:lastColumn="0" w:noHBand="0" w:noVBand="1"/>
      </w:tblPr>
      <w:tblGrid>
        <w:gridCol w:w="1636"/>
        <w:gridCol w:w="976"/>
        <w:gridCol w:w="976"/>
        <w:gridCol w:w="976"/>
        <w:gridCol w:w="976"/>
        <w:gridCol w:w="976"/>
        <w:gridCol w:w="976"/>
        <w:gridCol w:w="1296"/>
        <w:gridCol w:w="1256"/>
      </w:tblGrid>
      <w:tr w:rsidR="00383CEB" w:rsidRPr="00383CEB" w14:paraId="7BC338D6" w14:textId="77777777" w:rsidTr="00383CEB">
        <w:trPr>
          <w:trHeight w:val="290"/>
        </w:trPr>
        <w:tc>
          <w:tcPr>
            <w:tcW w:w="1636" w:type="dxa"/>
            <w:tcBorders>
              <w:top w:val="nil"/>
              <w:left w:val="nil"/>
              <w:bottom w:val="nil"/>
              <w:right w:val="nil"/>
            </w:tcBorders>
            <w:shd w:val="clear" w:color="auto" w:fill="auto"/>
            <w:noWrap/>
            <w:vAlign w:val="bottom"/>
            <w:hideMark/>
          </w:tcPr>
          <w:bookmarkEnd w:id="6"/>
          <w:p w14:paraId="6BA818BB" w14:textId="77777777" w:rsidR="00383CEB" w:rsidRPr="00383CEB" w:rsidRDefault="00383CEB" w:rsidP="00383CEB">
            <w:pPr>
              <w:spacing w:after="0" w:line="240" w:lineRule="auto"/>
              <w:rPr>
                <w:rFonts w:ascii="Calibri" w:eastAsia="Times New Roman" w:hAnsi="Calibri" w:cs="Calibri"/>
                <w:color w:val="000000"/>
                <w:lang w:eastAsia="en-NZ"/>
              </w:rPr>
            </w:pPr>
            <w:r w:rsidRPr="00383CEB">
              <w:rPr>
                <w:rFonts w:ascii="Calibri" w:eastAsia="Times New Roman" w:hAnsi="Calibri" w:cs="Calibri"/>
                <w:color w:val="000000"/>
                <w:lang w:eastAsia="en-NZ"/>
              </w:rPr>
              <w:t>OBS vintage</w:t>
            </w:r>
          </w:p>
        </w:tc>
        <w:tc>
          <w:tcPr>
            <w:tcW w:w="976" w:type="dxa"/>
            <w:tcBorders>
              <w:top w:val="nil"/>
              <w:left w:val="nil"/>
              <w:bottom w:val="nil"/>
              <w:right w:val="nil"/>
            </w:tcBorders>
            <w:shd w:val="clear" w:color="auto" w:fill="auto"/>
            <w:noWrap/>
            <w:vAlign w:val="bottom"/>
            <w:hideMark/>
          </w:tcPr>
          <w:p w14:paraId="2AC9A2DD" w14:textId="77777777" w:rsidR="00383CEB" w:rsidRPr="00383CEB" w:rsidRDefault="00383CEB" w:rsidP="00383CEB">
            <w:pPr>
              <w:spacing w:after="0" w:line="240" w:lineRule="auto"/>
              <w:rPr>
                <w:rFonts w:ascii="Calibri" w:eastAsia="Times New Roman" w:hAnsi="Calibri" w:cs="Calibri"/>
                <w:color w:val="000000"/>
                <w:lang w:eastAsia="en-NZ"/>
              </w:rPr>
            </w:pPr>
            <w:r w:rsidRPr="00383CEB">
              <w:rPr>
                <w:rFonts w:ascii="Calibri" w:eastAsia="Times New Roman" w:hAnsi="Calibri" w:cs="Calibri"/>
                <w:color w:val="000000"/>
                <w:lang w:eastAsia="en-NZ"/>
              </w:rPr>
              <w:t>2006 OBI</w:t>
            </w:r>
          </w:p>
        </w:tc>
        <w:tc>
          <w:tcPr>
            <w:tcW w:w="976" w:type="dxa"/>
            <w:tcBorders>
              <w:top w:val="nil"/>
              <w:left w:val="nil"/>
              <w:bottom w:val="nil"/>
              <w:right w:val="nil"/>
            </w:tcBorders>
            <w:shd w:val="clear" w:color="auto" w:fill="auto"/>
            <w:noWrap/>
            <w:vAlign w:val="bottom"/>
            <w:hideMark/>
          </w:tcPr>
          <w:p w14:paraId="1479C58A" w14:textId="77777777" w:rsidR="00383CEB" w:rsidRPr="00383CEB" w:rsidRDefault="00383CEB" w:rsidP="00383CEB">
            <w:pPr>
              <w:spacing w:after="0" w:line="240" w:lineRule="auto"/>
              <w:rPr>
                <w:rFonts w:ascii="Calibri" w:eastAsia="Times New Roman" w:hAnsi="Calibri" w:cs="Calibri"/>
                <w:color w:val="000000"/>
                <w:lang w:eastAsia="en-NZ"/>
              </w:rPr>
            </w:pPr>
            <w:r w:rsidRPr="00383CEB">
              <w:rPr>
                <w:rFonts w:ascii="Calibri" w:eastAsia="Times New Roman" w:hAnsi="Calibri" w:cs="Calibri"/>
                <w:color w:val="000000"/>
                <w:lang w:eastAsia="en-NZ"/>
              </w:rPr>
              <w:t>2008 OBI</w:t>
            </w:r>
          </w:p>
        </w:tc>
        <w:tc>
          <w:tcPr>
            <w:tcW w:w="976" w:type="dxa"/>
            <w:tcBorders>
              <w:top w:val="nil"/>
              <w:left w:val="nil"/>
              <w:bottom w:val="nil"/>
              <w:right w:val="nil"/>
            </w:tcBorders>
            <w:shd w:val="clear" w:color="auto" w:fill="auto"/>
            <w:noWrap/>
            <w:vAlign w:val="bottom"/>
            <w:hideMark/>
          </w:tcPr>
          <w:p w14:paraId="1E9BFD07" w14:textId="77777777" w:rsidR="00383CEB" w:rsidRPr="00383CEB" w:rsidRDefault="00383CEB" w:rsidP="00383CEB">
            <w:pPr>
              <w:spacing w:after="0" w:line="240" w:lineRule="auto"/>
              <w:rPr>
                <w:rFonts w:ascii="Calibri" w:eastAsia="Times New Roman" w:hAnsi="Calibri" w:cs="Calibri"/>
                <w:color w:val="000000"/>
                <w:lang w:eastAsia="en-NZ"/>
              </w:rPr>
            </w:pPr>
            <w:r w:rsidRPr="00383CEB">
              <w:rPr>
                <w:rFonts w:ascii="Calibri" w:eastAsia="Times New Roman" w:hAnsi="Calibri" w:cs="Calibri"/>
                <w:color w:val="000000"/>
                <w:lang w:eastAsia="en-NZ"/>
              </w:rPr>
              <w:t>2010 OBI</w:t>
            </w:r>
          </w:p>
        </w:tc>
        <w:tc>
          <w:tcPr>
            <w:tcW w:w="976" w:type="dxa"/>
            <w:tcBorders>
              <w:top w:val="nil"/>
              <w:left w:val="nil"/>
              <w:bottom w:val="nil"/>
              <w:right w:val="nil"/>
            </w:tcBorders>
            <w:shd w:val="clear" w:color="auto" w:fill="auto"/>
            <w:noWrap/>
            <w:vAlign w:val="bottom"/>
            <w:hideMark/>
          </w:tcPr>
          <w:p w14:paraId="6146AA5E" w14:textId="77777777" w:rsidR="00383CEB" w:rsidRPr="00383CEB" w:rsidRDefault="00383CEB" w:rsidP="00383CEB">
            <w:pPr>
              <w:spacing w:after="0" w:line="240" w:lineRule="auto"/>
              <w:rPr>
                <w:rFonts w:ascii="Calibri" w:eastAsia="Times New Roman" w:hAnsi="Calibri" w:cs="Calibri"/>
                <w:color w:val="000000"/>
                <w:lang w:eastAsia="en-NZ"/>
              </w:rPr>
            </w:pPr>
            <w:r w:rsidRPr="00383CEB">
              <w:rPr>
                <w:rFonts w:ascii="Calibri" w:eastAsia="Times New Roman" w:hAnsi="Calibri" w:cs="Calibri"/>
                <w:color w:val="000000"/>
                <w:lang w:eastAsia="en-NZ"/>
              </w:rPr>
              <w:t>2012 OBI</w:t>
            </w:r>
          </w:p>
        </w:tc>
        <w:tc>
          <w:tcPr>
            <w:tcW w:w="976" w:type="dxa"/>
            <w:tcBorders>
              <w:top w:val="nil"/>
              <w:left w:val="nil"/>
              <w:bottom w:val="nil"/>
              <w:right w:val="nil"/>
            </w:tcBorders>
            <w:shd w:val="clear" w:color="auto" w:fill="auto"/>
            <w:noWrap/>
            <w:vAlign w:val="bottom"/>
            <w:hideMark/>
          </w:tcPr>
          <w:p w14:paraId="6F02B428" w14:textId="77777777" w:rsidR="00383CEB" w:rsidRPr="00383CEB" w:rsidRDefault="00383CEB" w:rsidP="00383CEB">
            <w:pPr>
              <w:spacing w:after="0" w:line="240" w:lineRule="auto"/>
              <w:rPr>
                <w:rFonts w:ascii="Calibri" w:eastAsia="Times New Roman" w:hAnsi="Calibri" w:cs="Calibri"/>
                <w:color w:val="000000"/>
                <w:lang w:eastAsia="en-NZ"/>
              </w:rPr>
            </w:pPr>
            <w:r w:rsidRPr="00383CEB">
              <w:rPr>
                <w:rFonts w:ascii="Calibri" w:eastAsia="Times New Roman" w:hAnsi="Calibri" w:cs="Calibri"/>
                <w:color w:val="000000"/>
                <w:lang w:eastAsia="en-NZ"/>
              </w:rPr>
              <w:t xml:space="preserve">2015 OBI </w:t>
            </w:r>
          </w:p>
        </w:tc>
        <w:tc>
          <w:tcPr>
            <w:tcW w:w="976" w:type="dxa"/>
            <w:tcBorders>
              <w:top w:val="nil"/>
              <w:left w:val="nil"/>
              <w:bottom w:val="nil"/>
              <w:right w:val="nil"/>
            </w:tcBorders>
            <w:shd w:val="clear" w:color="auto" w:fill="auto"/>
            <w:noWrap/>
            <w:vAlign w:val="bottom"/>
            <w:hideMark/>
          </w:tcPr>
          <w:p w14:paraId="55C664D5" w14:textId="77777777" w:rsidR="00383CEB" w:rsidRPr="00383CEB" w:rsidRDefault="00383CEB" w:rsidP="00383CEB">
            <w:pPr>
              <w:spacing w:after="0" w:line="240" w:lineRule="auto"/>
              <w:rPr>
                <w:rFonts w:ascii="Calibri" w:eastAsia="Times New Roman" w:hAnsi="Calibri" w:cs="Calibri"/>
                <w:color w:val="000000"/>
                <w:lang w:eastAsia="en-NZ"/>
              </w:rPr>
            </w:pPr>
            <w:r w:rsidRPr="00383CEB">
              <w:rPr>
                <w:rFonts w:ascii="Calibri" w:eastAsia="Times New Roman" w:hAnsi="Calibri" w:cs="Calibri"/>
                <w:color w:val="000000"/>
                <w:lang w:eastAsia="en-NZ"/>
              </w:rPr>
              <w:t>2017 OBI</w:t>
            </w:r>
          </w:p>
        </w:tc>
        <w:tc>
          <w:tcPr>
            <w:tcW w:w="1296" w:type="dxa"/>
            <w:tcBorders>
              <w:top w:val="nil"/>
              <w:left w:val="nil"/>
              <w:bottom w:val="nil"/>
              <w:right w:val="nil"/>
            </w:tcBorders>
            <w:shd w:val="clear" w:color="auto" w:fill="auto"/>
            <w:noWrap/>
            <w:vAlign w:val="bottom"/>
            <w:hideMark/>
          </w:tcPr>
          <w:p w14:paraId="3717146C" w14:textId="77777777" w:rsidR="00383CEB" w:rsidRPr="00383CEB" w:rsidRDefault="00383CEB" w:rsidP="00383CEB">
            <w:pPr>
              <w:spacing w:after="0" w:line="240" w:lineRule="auto"/>
              <w:jc w:val="center"/>
              <w:rPr>
                <w:rFonts w:ascii="Calibri" w:eastAsia="Times New Roman" w:hAnsi="Calibri" w:cs="Calibri"/>
                <w:color w:val="000000"/>
                <w:lang w:eastAsia="en-NZ"/>
              </w:rPr>
            </w:pPr>
            <w:r w:rsidRPr="00383CEB">
              <w:rPr>
                <w:rFonts w:ascii="Symbol" w:eastAsia="Times New Roman" w:hAnsi="Symbol" w:cs="Calibri"/>
                <w:color w:val="000000"/>
                <w:lang w:eastAsia="en-NZ"/>
              </w:rPr>
              <w:t></w:t>
            </w:r>
            <w:r w:rsidRPr="00383CEB">
              <w:rPr>
                <w:rFonts w:ascii="Calibri" w:eastAsia="Times New Roman" w:hAnsi="Calibri" w:cs="Calibri"/>
                <w:color w:val="000000"/>
                <w:lang w:eastAsia="en-NZ"/>
              </w:rPr>
              <w:t xml:space="preserve">  </w:t>
            </w:r>
          </w:p>
        </w:tc>
        <w:tc>
          <w:tcPr>
            <w:tcW w:w="1256" w:type="dxa"/>
            <w:tcBorders>
              <w:top w:val="nil"/>
              <w:left w:val="nil"/>
              <w:bottom w:val="nil"/>
              <w:right w:val="nil"/>
            </w:tcBorders>
            <w:shd w:val="clear" w:color="auto" w:fill="auto"/>
            <w:noWrap/>
            <w:vAlign w:val="bottom"/>
            <w:hideMark/>
          </w:tcPr>
          <w:p w14:paraId="0B77534C" w14:textId="77777777" w:rsidR="00383CEB" w:rsidRPr="00383CEB" w:rsidRDefault="00383CEB" w:rsidP="00383CEB">
            <w:pPr>
              <w:spacing w:after="0" w:line="240" w:lineRule="auto"/>
              <w:jc w:val="center"/>
              <w:rPr>
                <w:rFonts w:ascii="Calibri" w:eastAsia="Times New Roman" w:hAnsi="Calibri" w:cs="Calibri"/>
                <w:color w:val="000000"/>
                <w:lang w:eastAsia="en-NZ"/>
              </w:rPr>
            </w:pPr>
            <w:r w:rsidRPr="00383CEB">
              <w:rPr>
                <w:rFonts w:ascii="Symbol" w:eastAsia="Times New Roman" w:hAnsi="Symbol" w:cs="Calibri"/>
                <w:color w:val="000000"/>
                <w:lang w:eastAsia="en-NZ"/>
              </w:rPr>
              <w:t></w:t>
            </w:r>
            <w:r w:rsidRPr="00383CEB">
              <w:rPr>
                <w:rFonts w:ascii="Calibri" w:eastAsia="Times New Roman" w:hAnsi="Calibri" w:cs="Calibri"/>
                <w:color w:val="000000"/>
                <w:lang w:eastAsia="en-NZ"/>
              </w:rPr>
              <w:t xml:space="preserve"> </w:t>
            </w:r>
          </w:p>
        </w:tc>
      </w:tr>
      <w:tr w:rsidR="00383CEB" w:rsidRPr="00383CEB" w14:paraId="52AC4D6E" w14:textId="77777777" w:rsidTr="00383CEB">
        <w:trPr>
          <w:trHeight w:val="290"/>
        </w:trPr>
        <w:tc>
          <w:tcPr>
            <w:tcW w:w="1636" w:type="dxa"/>
            <w:tcBorders>
              <w:top w:val="nil"/>
              <w:left w:val="nil"/>
              <w:bottom w:val="nil"/>
              <w:right w:val="nil"/>
            </w:tcBorders>
            <w:shd w:val="clear" w:color="auto" w:fill="auto"/>
            <w:noWrap/>
            <w:vAlign w:val="bottom"/>
            <w:hideMark/>
          </w:tcPr>
          <w:p w14:paraId="0B686CB8" w14:textId="77777777" w:rsidR="00383CEB" w:rsidRPr="00383CEB" w:rsidRDefault="00383CEB" w:rsidP="00383CEB">
            <w:pPr>
              <w:spacing w:after="0" w:line="240" w:lineRule="auto"/>
              <w:jc w:val="center"/>
              <w:rPr>
                <w:rFonts w:ascii="Calibri" w:eastAsia="Times New Roman" w:hAnsi="Calibri" w:cs="Calibri"/>
                <w:color w:val="000000"/>
                <w:lang w:eastAsia="en-NZ"/>
              </w:rPr>
            </w:pPr>
          </w:p>
        </w:tc>
        <w:tc>
          <w:tcPr>
            <w:tcW w:w="976" w:type="dxa"/>
            <w:tcBorders>
              <w:top w:val="nil"/>
              <w:left w:val="nil"/>
              <w:bottom w:val="nil"/>
              <w:right w:val="nil"/>
            </w:tcBorders>
            <w:shd w:val="clear" w:color="auto" w:fill="auto"/>
            <w:noWrap/>
            <w:vAlign w:val="bottom"/>
            <w:hideMark/>
          </w:tcPr>
          <w:p w14:paraId="401F95CD" w14:textId="77777777" w:rsidR="00383CEB" w:rsidRPr="00383CEB" w:rsidRDefault="00383CEB" w:rsidP="00383CEB">
            <w:pPr>
              <w:spacing w:after="0" w:line="240" w:lineRule="auto"/>
              <w:rPr>
                <w:rFonts w:ascii="Times New Roman" w:eastAsia="Times New Roman" w:hAnsi="Times New Roman" w:cs="Times New Roman"/>
                <w:sz w:val="20"/>
                <w:szCs w:val="20"/>
                <w:lang w:eastAsia="en-NZ"/>
              </w:rPr>
            </w:pPr>
          </w:p>
        </w:tc>
        <w:tc>
          <w:tcPr>
            <w:tcW w:w="976" w:type="dxa"/>
            <w:tcBorders>
              <w:top w:val="nil"/>
              <w:left w:val="nil"/>
              <w:bottom w:val="nil"/>
              <w:right w:val="nil"/>
            </w:tcBorders>
            <w:shd w:val="clear" w:color="auto" w:fill="auto"/>
            <w:noWrap/>
            <w:vAlign w:val="bottom"/>
            <w:hideMark/>
          </w:tcPr>
          <w:p w14:paraId="16C2B3D7" w14:textId="77777777" w:rsidR="00383CEB" w:rsidRPr="00383CEB" w:rsidRDefault="00383CEB" w:rsidP="00383CEB">
            <w:pPr>
              <w:spacing w:after="0" w:line="240" w:lineRule="auto"/>
              <w:rPr>
                <w:rFonts w:ascii="Times New Roman" w:eastAsia="Times New Roman" w:hAnsi="Times New Roman" w:cs="Times New Roman"/>
                <w:sz w:val="20"/>
                <w:szCs w:val="20"/>
                <w:lang w:eastAsia="en-NZ"/>
              </w:rPr>
            </w:pPr>
          </w:p>
        </w:tc>
        <w:tc>
          <w:tcPr>
            <w:tcW w:w="976" w:type="dxa"/>
            <w:tcBorders>
              <w:top w:val="nil"/>
              <w:left w:val="nil"/>
              <w:bottom w:val="nil"/>
              <w:right w:val="nil"/>
            </w:tcBorders>
            <w:shd w:val="clear" w:color="auto" w:fill="auto"/>
            <w:noWrap/>
            <w:vAlign w:val="bottom"/>
            <w:hideMark/>
          </w:tcPr>
          <w:p w14:paraId="4679F4D4" w14:textId="77777777" w:rsidR="00383CEB" w:rsidRPr="00383CEB" w:rsidRDefault="00383CEB" w:rsidP="00383CEB">
            <w:pPr>
              <w:spacing w:after="0" w:line="240" w:lineRule="auto"/>
              <w:rPr>
                <w:rFonts w:ascii="Times New Roman" w:eastAsia="Times New Roman" w:hAnsi="Times New Roman" w:cs="Times New Roman"/>
                <w:sz w:val="20"/>
                <w:szCs w:val="20"/>
                <w:lang w:eastAsia="en-NZ"/>
              </w:rPr>
            </w:pPr>
          </w:p>
        </w:tc>
        <w:tc>
          <w:tcPr>
            <w:tcW w:w="976" w:type="dxa"/>
            <w:tcBorders>
              <w:top w:val="nil"/>
              <w:left w:val="nil"/>
              <w:bottom w:val="nil"/>
              <w:right w:val="nil"/>
            </w:tcBorders>
            <w:shd w:val="clear" w:color="auto" w:fill="auto"/>
            <w:noWrap/>
            <w:vAlign w:val="bottom"/>
            <w:hideMark/>
          </w:tcPr>
          <w:p w14:paraId="4FB24BEC" w14:textId="77777777" w:rsidR="00383CEB" w:rsidRPr="00383CEB" w:rsidRDefault="00383CEB" w:rsidP="00383CEB">
            <w:pPr>
              <w:spacing w:after="0" w:line="240" w:lineRule="auto"/>
              <w:rPr>
                <w:rFonts w:ascii="Times New Roman" w:eastAsia="Times New Roman" w:hAnsi="Times New Roman" w:cs="Times New Roman"/>
                <w:sz w:val="20"/>
                <w:szCs w:val="20"/>
                <w:lang w:eastAsia="en-NZ"/>
              </w:rPr>
            </w:pPr>
          </w:p>
        </w:tc>
        <w:tc>
          <w:tcPr>
            <w:tcW w:w="976" w:type="dxa"/>
            <w:tcBorders>
              <w:top w:val="nil"/>
              <w:left w:val="nil"/>
              <w:bottom w:val="nil"/>
              <w:right w:val="nil"/>
            </w:tcBorders>
            <w:shd w:val="clear" w:color="auto" w:fill="auto"/>
            <w:noWrap/>
            <w:vAlign w:val="bottom"/>
            <w:hideMark/>
          </w:tcPr>
          <w:p w14:paraId="06176D96" w14:textId="77777777" w:rsidR="00383CEB" w:rsidRPr="00383CEB" w:rsidRDefault="00383CEB" w:rsidP="00383CEB">
            <w:pPr>
              <w:spacing w:after="0" w:line="240" w:lineRule="auto"/>
              <w:rPr>
                <w:rFonts w:ascii="Times New Roman" w:eastAsia="Times New Roman" w:hAnsi="Times New Roman" w:cs="Times New Roman"/>
                <w:sz w:val="20"/>
                <w:szCs w:val="20"/>
                <w:lang w:eastAsia="en-NZ"/>
              </w:rPr>
            </w:pPr>
          </w:p>
        </w:tc>
        <w:tc>
          <w:tcPr>
            <w:tcW w:w="976" w:type="dxa"/>
            <w:tcBorders>
              <w:top w:val="nil"/>
              <w:left w:val="nil"/>
              <w:bottom w:val="nil"/>
              <w:right w:val="nil"/>
            </w:tcBorders>
            <w:shd w:val="clear" w:color="auto" w:fill="auto"/>
            <w:noWrap/>
            <w:vAlign w:val="bottom"/>
            <w:hideMark/>
          </w:tcPr>
          <w:p w14:paraId="4BD3C698" w14:textId="77777777" w:rsidR="00383CEB" w:rsidRPr="00383CEB" w:rsidRDefault="00383CEB" w:rsidP="00383CEB">
            <w:pPr>
              <w:spacing w:after="0" w:line="240" w:lineRule="auto"/>
              <w:rPr>
                <w:rFonts w:ascii="Times New Roman" w:eastAsia="Times New Roman" w:hAnsi="Times New Roman" w:cs="Times New Roman"/>
                <w:sz w:val="20"/>
                <w:szCs w:val="20"/>
                <w:lang w:eastAsia="en-NZ"/>
              </w:rPr>
            </w:pPr>
          </w:p>
        </w:tc>
        <w:tc>
          <w:tcPr>
            <w:tcW w:w="1296" w:type="dxa"/>
            <w:tcBorders>
              <w:top w:val="nil"/>
              <w:left w:val="nil"/>
              <w:bottom w:val="nil"/>
              <w:right w:val="nil"/>
            </w:tcBorders>
            <w:shd w:val="clear" w:color="auto" w:fill="auto"/>
            <w:noWrap/>
            <w:vAlign w:val="bottom"/>
            <w:hideMark/>
          </w:tcPr>
          <w:p w14:paraId="16768A6A" w14:textId="77777777" w:rsidR="00383CEB" w:rsidRPr="00383CEB" w:rsidRDefault="00383CEB" w:rsidP="00383CEB">
            <w:pPr>
              <w:spacing w:after="0" w:line="240" w:lineRule="auto"/>
              <w:rPr>
                <w:rFonts w:ascii="Calibri" w:eastAsia="Times New Roman" w:hAnsi="Calibri" w:cs="Calibri"/>
                <w:color w:val="000000"/>
                <w:lang w:eastAsia="en-NZ"/>
              </w:rPr>
            </w:pPr>
            <w:r w:rsidRPr="00383CEB">
              <w:rPr>
                <w:rFonts w:ascii="Calibri" w:eastAsia="Times New Roman" w:hAnsi="Calibri" w:cs="Calibri"/>
                <w:color w:val="000000"/>
                <w:lang w:eastAsia="en-NZ"/>
              </w:rPr>
              <w:t>first to last</w:t>
            </w:r>
          </w:p>
        </w:tc>
        <w:tc>
          <w:tcPr>
            <w:tcW w:w="1256" w:type="dxa"/>
            <w:tcBorders>
              <w:top w:val="nil"/>
              <w:left w:val="nil"/>
              <w:bottom w:val="nil"/>
              <w:right w:val="nil"/>
            </w:tcBorders>
            <w:shd w:val="clear" w:color="auto" w:fill="auto"/>
            <w:noWrap/>
            <w:vAlign w:val="bottom"/>
            <w:hideMark/>
          </w:tcPr>
          <w:p w14:paraId="5CA8CC23" w14:textId="77777777" w:rsidR="00383CEB" w:rsidRPr="00383CEB" w:rsidRDefault="00383CEB" w:rsidP="00383CEB">
            <w:pPr>
              <w:spacing w:after="0" w:line="240" w:lineRule="auto"/>
              <w:rPr>
                <w:rFonts w:ascii="Calibri" w:eastAsia="Times New Roman" w:hAnsi="Calibri" w:cs="Calibri"/>
                <w:color w:val="000000"/>
                <w:lang w:eastAsia="en-NZ"/>
              </w:rPr>
            </w:pPr>
            <w:r w:rsidRPr="00383CEB">
              <w:rPr>
                <w:rFonts w:ascii="Calibri" w:eastAsia="Times New Roman" w:hAnsi="Calibri" w:cs="Calibri"/>
                <w:color w:val="000000"/>
                <w:lang w:eastAsia="en-NZ"/>
              </w:rPr>
              <w:t>2015-2017</w:t>
            </w:r>
          </w:p>
        </w:tc>
      </w:tr>
      <w:tr w:rsidR="00383CEB" w:rsidRPr="00383CEB" w14:paraId="480F111E" w14:textId="77777777" w:rsidTr="00383CEB">
        <w:trPr>
          <w:trHeight w:val="290"/>
        </w:trPr>
        <w:tc>
          <w:tcPr>
            <w:tcW w:w="1636" w:type="dxa"/>
            <w:tcBorders>
              <w:top w:val="nil"/>
              <w:left w:val="nil"/>
              <w:bottom w:val="nil"/>
              <w:right w:val="nil"/>
            </w:tcBorders>
            <w:shd w:val="clear" w:color="auto" w:fill="auto"/>
            <w:noWrap/>
            <w:vAlign w:val="bottom"/>
            <w:hideMark/>
          </w:tcPr>
          <w:p w14:paraId="37235253" w14:textId="77777777" w:rsidR="00383CEB" w:rsidRPr="00383CEB" w:rsidRDefault="00383CEB" w:rsidP="00383CEB">
            <w:pPr>
              <w:spacing w:after="0" w:line="240" w:lineRule="auto"/>
              <w:rPr>
                <w:rFonts w:ascii="Calibri" w:eastAsia="Times New Roman" w:hAnsi="Calibri" w:cs="Calibri"/>
                <w:color w:val="000000"/>
                <w:lang w:eastAsia="en-NZ"/>
              </w:rPr>
            </w:pPr>
          </w:p>
        </w:tc>
        <w:tc>
          <w:tcPr>
            <w:tcW w:w="976" w:type="dxa"/>
            <w:tcBorders>
              <w:top w:val="nil"/>
              <w:left w:val="nil"/>
              <w:bottom w:val="nil"/>
              <w:right w:val="nil"/>
            </w:tcBorders>
            <w:shd w:val="clear" w:color="auto" w:fill="auto"/>
            <w:noWrap/>
            <w:vAlign w:val="bottom"/>
            <w:hideMark/>
          </w:tcPr>
          <w:p w14:paraId="6119FA11" w14:textId="77777777" w:rsidR="00383CEB" w:rsidRPr="00383CEB" w:rsidRDefault="00383CEB" w:rsidP="00383CEB">
            <w:pPr>
              <w:spacing w:after="0" w:line="240" w:lineRule="auto"/>
              <w:rPr>
                <w:rFonts w:ascii="Times New Roman" w:eastAsia="Times New Roman" w:hAnsi="Times New Roman" w:cs="Times New Roman"/>
                <w:sz w:val="20"/>
                <w:szCs w:val="20"/>
                <w:lang w:eastAsia="en-NZ"/>
              </w:rPr>
            </w:pPr>
          </w:p>
        </w:tc>
        <w:tc>
          <w:tcPr>
            <w:tcW w:w="976" w:type="dxa"/>
            <w:tcBorders>
              <w:top w:val="nil"/>
              <w:left w:val="nil"/>
              <w:bottom w:val="nil"/>
              <w:right w:val="nil"/>
            </w:tcBorders>
            <w:shd w:val="clear" w:color="auto" w:fill="auto"/>
            <w:noWrap/>
            <w:vAlign w:val="bottom"/>
            <w:hideMark/>
          </w:tcPr>
          <w:p w14:paraId="3C9B35B1" w14:textId="77777777" w:rsidR="00383CEB" w:rsidRPr="00383CEB" w:rsidRDefault="00383CEB" w:rsidP="00383CEB">
            <w:pPr>
              <w:spacing w:after="0" w:line="240" w:lineRule="auto"/>
              <w:rPr>
                <w:rFonts w:ascii="Times New Roman" w:eastAsia="Times New Roman" w:hAnsi="Times New Roman" w:cs="Times New Roman"/>
                <w:sz w:val="20"/>
                <w:szCs w:val="20"/>
                <w:lang w:eastAsia="en-NZ"/>
              </w:rPr>
            </w:pPr>
          </w:p>
        </w:tc>
        <w:tc>
          <w:tcPr>
            <w:tcW w:w="976" w:type="dxa"/>
            <w:tcBorders>
              <w:top w:val="nil"/>
              <w:left w:val="nil"/>
              <w:bottom w:val="nil"/>
              <w:right w:val="nil"/>
            </w:tcBorders>
            <w:shd w:val="clear" w:color="auto" w:fill="auto"/>
            <w:noWrap/>
            <w:vAlign w:val="bottom"/>
            <w:hideMark/>
          </w:tcPr>
          <w:p w14:paraId="2967A723" w14:textId="77777777" w:rsidR="00383CEB" w:rsidRPr="00383CEB" w:rsidRDefault="00383CEB" w:rsidP="00383CEB">
            <w:pPr>
              <w:spacing w:after="0" w:line="240" w:lineRule="auto"/>
              <w:rPr>
                <w:rFonts w:ascii="Times New Roman" w:eastAsia="Times New Roman" w:hAnsi="Times New Roman" w:cs="Times New Roman"/>
                <w:sz w:val="20"/>
                <w:szCs w:val="20"/>
                <w:lang w:eastAsia="en-NZ"/>
              </w:rPr>
            </w:pPr>
          </w:p>
        </w:tc>
        <w:tc>
          <w:tcPr>
            <w:tcW w:w="976" w:type="dxa"/>
            <w:tcBorders>
              <w:top w:val="nil"/>
              <w:left w:val="nil"/>
              <w:bottom w:val="nil"/>
              <w:right w:val="nil"/>
            </w:tcBorders>
            <w:shd w:val="clear" w:color="auto" w:fill="auto"/>
            <w:noWrap/>
            <w:vAlign w:val="bottom"/>
            <w:hideMark/>
          </w:tcPr>
          <w:p w14:paraId="0883A968" w14:textId="77777777" w:rsidR="00383CEB" w:rsidRPr="00383CEB" w:rsidRDefault="00383CEB" w:rsidP="00383CEB">
            <w:pPr>
              <w:spacing w:after="0" w:line="240" w:lineRule="auto"/>
              <w:rPr>
                <w:rFonts w:ascii="Times New Roman" w:eastAsia="Times New Roman" w:hAnsi="Times New Roman" w:cs="Times New Roman"/>
                <w:sz w:val="20"/>
                <w:szCs w:val="20"/>
                <w:lang w:eastAsia="en-NZ"/>
              </w:rPr>
            </w:pPr>
          </w:p>
        </w:tc>
        <w:tc>
          <w:tcPr>
            <w:tcW w:w="976" w:type="dxa"/>
            <w:tcBorders>
              <w:top w:val="nil"/>
              <w:left w:val="nil"/>
              <w:bottom w:val="nil"/>
              <w:right w:val="nil"/>
            </w:tcBorders>
            <w:shd w:val="clear" w:color="auto" w:fill="auto"/>
            <w:noWrap/>
            <w:vAlign w:val="bottom"/>
            <w:hideMark/>
          </w:tcPr>
          <w:p w14:paraId="3E06BD65" w14:textId="77777777" w:rsidR="00383CEB" w:rsidRPr="00383CEB" w:rsidRDefault="00383CEB" w:rsidP="00383CEB">
            <w:pPr>
              <w:spacing w:after="0" w:line="240" w:lineRule="auto"/>
              <w:rPr>
                <w:rFonts w:ascii="Times New Roman" w:eastAsia="Times New Roman" w:hAnsi="Times New Roman" w:cs="Times New Roman"/>
                <w:sz w:val="20"/>
                <w:szCs w:val="20"/>
                <w:lang w:eastAsia="en-NZ"/>
              </w:rPr>
            </w:pPr>
          </w:p>
        </w:tc>
        <w:tc>
          <w:tcPr>
            <w:tcW w:w="976" w:type="dxa"/>
            <w:tcBorders>
              <w:top w:val="nil"/>
              <w:left w:val="nil"/>
              <w:bottom w:val="nil"/>
              <w:right w:val="nil"/>
            </w:tcBorders>
            <w:shd w:val="clear" w:color="auto" w:fill="auto"/>
            <w:noWrap/>
            <w:vAlign w:val="bottom"/>
            <w:hideMark/>
          </w:tcPr>
          <w:p w14:paraId="239C9187" w14:textId="77777777" w:rsidR="00383CEB" w:rsidRPr="00383CEB" w:rsidRDefault="00383CEB" w:rsidP="00383CEB">
            <w:pPr>
              <w:spacing w:after="0" w:line="240" w:lineRule="auto"/>
              <w:rPr>
                <w:rFonts w:ascii="Times New Roman" w:eastAsia="Times New Roman" w:hAnsi="Times New Roman" w:cs="Times New Roman"/>
                <w:sz w:val="20"/>
                <w:szCs w:val="20"/>
                <w:lang w:eastAsia="en-NZ"/>
              </w:rPr>
            </w:pPr>
          </w:p>
        </w:tc>
        <w:tc>
          <w:tcPr>
            <w:tcW w:w="1296" w:type="dxa"/>
            <w:tcBorders>
              <w:top w:val="nil"/>
              <w:left w:val="nil"/>
              <w:bottom w:val="nil"/>
              <w:right w:val="nil"/>
            </w:tcBorders>
            <w:shd w:val="clear" w:color="auto" w:fill="auto"/>
            <w:noWrap/>
            <w:vAlign w:val="bottom"/>
            <w:hideMark/>
          </w:tcPr>
          <w:p w14:paraId="4887A69C" w14:textId="77777777" w:rsidR="00383CEB" w:rsidRPr="00383CEB" w:rsidRDefault="00383CEB" w:rsidP="00383CEB">
            <w:pPr>
              <w:spacing w:after="0" w:line="240" w:lineRule="auto"/>
              <w:rPr>
                <w:rFonts w:ascii="Times New Roman" w:eastAsia="Times New Roman" w:hAnsi="Times New Roman" w:cs="Times New Roman"/>
                <w:sz w:val="20"/>
                <w:szCs w:val="20"/>
                <w:lang w:eastAsia="en-NZ"/>
              </w:rPr>
            </w:pPr>
          </w:p>
        </w:tc>
        <w:tc>
          <w:tcPr>
            <w:tcW w:w="1256" w:type="dxa"/>
            <w:tcBorders>
              <w:top w:val="nil"/>
              <w:left w:val="nil"/>
              <w:bottom w:val="nil"/>
              <w:right w:val="nil"/>
            </w:tcBorders>
            <w:shd w:val="clear" w:color="auto" w:fill="auto"/>
            <w:noWrap/>
            <w:vAlign w:val="bottom"/>
            <w:hideMark/>
          </w:tcPr>
          <w:p w14:paraId="170F7BDA" w14:textId="77777777" w:rsidR="00383CEB" w:rsidRPr="00383CEB" w:rsidRDefault="00383CEB" w:rsidP="00383CEB">
            <w:pPr>
              <w:spacing w:after="0" w:line="240" w:lineRule="auto"/>
              <w:rPr>
                <w:rFonts w:ascii="Times New Roman" w:eastAsia="Times New Roman" w:hAnsi="Times New Roman" w:cs="Times New Roman"/>
                <w:sz w:val="20"/>
                <w:szCs w:val="20"/>
                <w:lang w:eastAsia="en-NZ"/>
              </w:rPr>
            </w:pPr>
          </w:p>
        </w:tc>
      </w:tr>
      <w:tr w:rsidR="00383CEB" w:rsidRPr="00383CEB" w14:paraId="1A8A6BA6" w14:textId="77777777" w:rsidTr="00383CEB">
        <w:trPr>
          <w:trHeight w:val="290"/>
        </w:trPr>
        <w:tc>
          <w:tcPr>
            <w:tcW w:w="1636" w:type="dxa"/>
            <w:tcBorders>
              <w:top w:val="nil"/>
              <w:left w:val="nil"/>
              <w:bottom w:val="nil"/>
              <w:right w:val="nil"/>
            </w:tcBorders>
            <w:shd w:val="clear" w:color="auto" w:fill="auto"/>
            <w:noWrap/>
            <w:vAlign w:val="bottom"/>
            <w:hideMark/>
          </w:tcPr>
          <w:p w14:paraId="05108B36" w14:textId="77777777" w:rsidR="00383CEB" w:rsidRPr="00383CEB" w:rsidRDefault="00383CEB" w:rsidP="00383CEB">
            <w:pPr>
              <w:spacing w:after="0" w:line="240" w:lineRule="auto"/>
              <w:rPr>
                <w:rFonts w:ascii="Calibri" w:eastAsia="Times New Roman" w:hAnsi="Calibri" w:cs="Calibri"/>
                <w:color w:val="000000"/>
                <w:lang w:eastAsia="en-NZ"/>
              </w:rPr>
            </w:pPr>
            <w:r w:rsidRPr="00383CEB">
              <w:rPr>
                <w:rFonts w:ascii="Calibri" w:eastAsia="Times New Roman" w:hAnsi="Calibri" w:cs="Calibri"/>
                <w:color w:val="000000"/>
                <w:lang w:eastAsia="en-NZ"/>
              </w:rPr>
              <w:t>Argentina</w:t>
            </w:r>
          </w:p>
        </w:tc>
        <w:tc>
          <w:tcPr>
            <w:tcW w:w="976" w:type="dxa"/>
            <w:tcBorders>
              <w:top w:val="nil"/>
              <w:left w:val="nil"/>
              <w:bottom w:val="nil"/>
              <w:right w:val="nil"/>
            </w:tcBorders>
            <w:shd w:val="clear" w:color="auto" w:fill="auto"/>
            <w:noWrap/>
            <w:vAlign w:val="bottom"/>
            <w:hideMark/>
          </w:tcPr>
          <w:p w14:paraId="66B94BE4" w14:textId="77777777" w:rsidR="00383CEB" w:rsidRPr="00383CEB" w:rsidRDefault="00383CEB" w:rsidP="00383CEB">
            <w:pPr>
              <w:spacing w:after="0" w:line="240" w:lineRule="auto"/>
              <w:jc w:val="right"/>
              <w:rPr>
                <w:rFonts w:ascii="Calibri" w:eastAsia="Times New Roman" w:hAnsi="Calibri" w:cs="Calibri"/>
                <w:color w:val="000000"/>
                <w:lang w:eastAsia="en-NZ"/>
              </w:rPr>
            </w:pPr>
            <w:r w:rsidRPr="00383CEB">
              <w:rPr>
                <w:rFonts w:ascii="Calibri" w:eastAsia="Times New Roman" w:hAnsi="Calibri" w:cs="Calibri"/>
                <w:color w:val="000000"/>
                <w:lang w:eastAsia="en-NZ"/>
              </w:rPr>
              <w:t>40</w:t>
            </w:r>
          </w:p>
        </w:tc>
        <w:tc>
          <w:tcPr>
            <w:tcW w:w="976" w:type="dxa"/>
            <w:tcBorders>
              <w:top w:val="nil"/>
              <w:left w:val="nil"/>
              <w:bottom w:val="nil"/>
              <w:right w:val="nil"/>
            </w:tcBorders>
            <w:shd w:val="clear" w:color="auto" w:fill="auto"/>
            <w:noWrap/>
            <w:vAlign w:val="bottom"/>
            <w:hideMark/>
          </w:tcPr>
          <w:p w14:paraId="6DA14949" w14:textId="77777777" w:rsidR="00383CEB" w:rsidRPr="00383CEB" w:rsidRDefault="00383CEB" w:rsidP="00383CEB">
            <w:pPr>
              <w:spacing w:after="0" w:line="240" w:lineRule="auto"/>
              <w:jc w:val="right"/>
              <w:rPr>
                <w:rFonts w:ascii="Calibri" w:eastAsia="Times New Roman" w:hAnsi="Calibri" w:cs="Calibri"/>
                <w:color w:val="000000"/>
                <w:lang w:eastAsia="en-NZ"/>
              </w:rPr>
            </w:pPr>
            <w:r w:rsidRPr="00383CEB">
              <w:rPr>
                <w:rFonts w:ascii="Calibri" w:eastAsia="Times New Roman" w:hAnsi="Calibri" w:cs="Calibri"/>
                <w:color w:val="000000"/>
                <w:lang w:eastAsia="en-NZ"/>
              </w:rPr>
              <w:t>56</w:t>
            </w:r>
          </w:p>
        </w:tc>
        <w:tc>
          <w:tcPr>
            <w:tcW w:w="976" w:type="dxa"/>
            <w:tcBorders>
              <w:top w:val="nil"/>
              <w:left w:val="nil"/>
              <w:bottom w:val="nil"/>
              <w:right w:val="nil"/>
            </w:tcBorders>
            <w:shd w:val="clear" w:color="auto" w:fill="auto"/>
            <w:noWrap/>
            <w:vAlign w:val="bottom"/>
            <w:hideMark/>
          </w:tcPr>
          <w:p w14:paraId="5F855F18" w14:textId="77777777" w:rsidR="00383CEB" w:rsidRPr="00383CEB" w:rsidRDefault="00383CEB" w:rsidP="00383CEB">
            <w:pPr>
              <w:spacing w:after="0" w:line="240" w:lineRule="auto"/>
              <w:jc w:val="right"/>
              <w:rPr>
                <w:rFonts w:ascii="Calibri" w:eastAsia="Times New Roman" w:hAnsi="Calibri" w:cs="Calibri"/>
                <w:color w:val="000000"/>
                <w:lang w:eastAsia="en-NZ"/>
              </w:rPr>
            </w:pPr>
            <w:r w:rsidRPr="00383CEB">
              <w:rPr>
                <w:rFonts w:ascii="Calibri" w:eastAsia="Times New Roman" w:hAnsi="Calibri" w:cs="Calibri"/>
                <w:color w:val="000000"/>
                <w:lang w:eastAsia="en-NZ"/>
              </w:rPr>
              <w:t>56</w:t>
            </w:r>
          </w:p>
        </w:tc>
        <w:tc>
          <w:tcPr>
            <w:tcW w:w="976" w:type="dxa"/>
            <w:tcBorders>
              <w:top w:val="nil"/>
              <w:left w:val="nil"/>
              <w:bottom w:val="nil"/>
              <w:right w:val="nil"/>
            </w:tcBorders>
            <w:shd w:val="clear" w:color="auto" w:fill="auto"/>
            <w:noWrap/>
            <w:vAlign w:val="bottom"/>
            <w:hideMark/>
          </w:tcPr>
          <w:p w14:paraId="1A9DF303" w14:textId="77777777" w:rsidR="00383CEB" w:rsidRPr="00383CEB" w:rsidRDefault="00383CEB" w:rsidP="00383CEB">
            <w:pPr>
              <w:spacing w:after="0" w:line="240" w:lineRule="auto"/>
              <w:jc w:val="right"/>
              <w:rPr>
                <w:rFonts w:ascii="Calibri" w:eastAsia="Times New Roman" w:hAnsi="Calibri" w:cs="Calibri"/>
                <w:color w:val="000000"/>
                <w:lang w:eastAsia="en-NZ"/>
              </w:rPr>
            </w:pPr>
            <w:r w:rsidRPr="00383CEB">
              <w:rPr>
                <w:rFonts w:ascii="Calibri" w:eastAsia="Times New Roman" w:hAnsi="Calibri" w:cs="Calibri"/>
                <w:color w:val="000000"/>
                <w:lang w:eastAsia="en-NZ"/>
              </w:rPr>
              <w:t>50</w:t>
            </w:r>
          </w:p>
        </w:tc>
        <w:tc>
          <w:tcPr>
            <w:tcW w:w="976" w:type="dxa"/>
            <w:tcBorders>
              <w:top w:val="nil"/>
              <w:left w:val="nil"/>
              <w:bottom w:val="nil"/>
              <w:right w:val="nil"/>
            </w:tcBorders>
            <w:shd w:val="clear" w:color="auto" w:fill="auto"/>
            <w:noWrap/>
            <w:vAlign w:val="bottom"/>
            <w:hideMark/>
          </w:tcPr>
          <w:p w14:paraId="38808505" w14:textId="77777777" w:rsidR="00383CEB" w:rsidRPr="00383CEB" w:rsidRDefault="00383CEB" w:rsidP="00383CEB">
            <w:pPr>
              <w:spacing w:after="0" w:line="240" w:lineRule="auto"/>
              <w:jc w:val="right"/>
              <w:rPr>
                <w:rFonts w:ascii="Calibri" w:eastAsia="Times New Roman" w:hAnsi="Calibri" w:cs="Calibri"/>
                <w:color w:val="000000"/>
                <w:lang w:eastAsia="en-NZ"/>
              </w:rPr>
            </w:pPr>
            <w:r w:rsidRPr="00383CEB">
              <w:rPr>
                <w:rFonts w:ascii="Calibri" w:eastAsia="Times New Roman" w:hAnsi="Calibri" w:cs="Calibri"/>
                <w:color w:val="000000"/>
                <w:lang w:eastAsia="en-NZ"/>
              </w:rPr>
              <w:t>59</w:t>
            </w:r>
          </w:p>
        </w:tc>
        <w:tc>
          <w:tcPr>
            <w:tcW w:w="976" w:type="dxa"/>
            <w:tcBorders>
              <w:top w:val="nil"/>
              <w:left w:val="nil"/>
              <w:bottom w:val="nil"/>
              <w:right w:val="nil"/>
            </w:tcBorders>
            <w:shd w:val="clear" w:color="auto" w:fill="auto"/>
            <w:noWrap/>
            <w:vAlign w:val="bottom"/>
            <w:hideMark/>
          </w:tcPr>
          <w:p w14:paraId="357BDCDF" w14:textId="77777777" w:rsidR="00383CEB" w:rsidRPr="00383CEB" w:rsidRDefault="00383CEB" w:rsidP="00383CEB">
            <w:pPr>
              <w:spacing w:after="0" w:line="240" w:lineRule="auto"/>
              <w:jc w:val="right"/>
              <w:rPr>
                <w:rFonts w:ascii="Calibri" w:eastAsia="Times New Roman" w:hAnsi="Calibri" w:cs="Calibri"/>
                <w:color w:val="000000"/>
                <w:lang w:eastAsia="en-NZ"/>
              </w:rPr>
            </w:pPr>
            <w:r w:rsidRPr="00383CEB">
              <w:rPr>
                <w:rFonts w:ascii="Calibri" w:eastAsia="Times New Roman" w:hAnsi="Calibri" w:cs="Calibri"/>
                <w:color w:val="000000"/>
                <w:lang w:eastAsia="en-NZ"/>
              </w:rPr>
              <w:t>50</w:t>
            </w:r>
          </w:p>
        </w:tc>
        <w:tc>
          <w:tcPr>
            <w:tcW w:w="1296" w:type="dxa"/>
            <w:tcBorders>
              <w:top w:val="nil"/>
              <w:left w:val="nil"/>
              <w:bottom w:val="nil"/>
              <w:right w:val="nil"/>
            </w:tcBorders>
            <w:shd w:val="clear" w:color="auto" w:fill="auto"/>
            <w:noWrap/>
            <w:vAlign w:val="bottom"/>
            <w:hideMark/>
          </w:tcPr>
          <w:p w14:paraId="6BD5187F" w14:textId="77777777" w:rsidR="00383CEB" w:rsidRPr="0025534A" w:rsidRDefault="00383CEB" w:rsidP="00383CEB">
            <w:pPr>
              <w:spacing w:after="0" w:line="240" w:lineRule="auto"/>
              <w:jc w:val="right"/>
              <w:rPr>
                <w:rFonts w:ascii="Calibri" w:eastAsia="Times New Roman" w:hAnsi="Calibri" w:cs="Calibri"/>
                <w:color w:val="00B050"/>
                <w:lang w:eastAsia="en-NZ"/>
              </w:rPr>
            </w:pPr>
            <w:r w:rsidRPr="0025534A">
              <w:rPr>
                <w:rFonts w:ascii="Calibri" w:eastAsia="Times New Roman" w:hAnsi="Calibri" w:cs="Calibri"/>
                <w:color w:val="00B050"/>
                <w:lang w:eastAsia="en-NZ"/>
              </w:rPr>
              <w:t>10</w:t>
            </w:r>
          </w:p>
        </w:tc>
        <w:tc>
          <w:tcPr>
            <w:tcW w:w="1256" w:type="dxa"/>
            <w:tcBorders>
              <w:top w:val="nil"/>
              <w:left w:val="nil"/>
              <w:bottom w:val="nil"/>
              <w:right w:val="nil"/>
            </w:tcBorders>
            <w:shd w:val="clear" w:color="auto" w:fill="auto"/>
            <w:noWrap/>
            <w:vAlign w:val="bottom"/>
            <w:hideMark/>
          </w:tcPr>
          <w:p w14:paraId="6919B6E5" w14:textId="77777777" w:rsidR="00383CEB" w:rsidRPr="00383CEB" w:rsidRDefault="00383CEB" w:rsidP="00383CEB">
            <w:pPr>
              <w:spacing w:after="0" w:line="240" w:lineRule="auto"/>
              <w:jc w:val="right"/>
              <w:rPr>
                <w:rFonts w:ascii="Calibri" w:eastAsia="Times New Roman" w:hAnsi="Calibri" w:cs="Calibri"/>
                <w:color w:val="FF0000"/>
                <w:lang w:eastAsia="en-NZ"/>
              </w:rPr>
            </w:pPr>
            <w:r w:rsidRPr="00383CEB">
              <w:rPr>
                <w:rFonts w:ascii="Calibri" w:eastAsia="Times New Roman" w:hAnsi="Calibri" w:cs="Calibri"/>
                <w:color w:val="FF0000"/>
                <w:lang w:eastAsia="en-NZ"/>
              </w:rPr>
              <w:t>-9</w:t>
            </w:r>
          </w:p>
        </w:tc>
      </w:tr>
      <w:tr w:rsidR="00383CEB" w:rsidRPr="00383CEB" w14:paraId="4C44D822" w14:textId="77777777" w:rsidTr="00383CEB">
        <w:trPr>
          <w:trHeight w:val="290"/>
        </w:trPr>
        <w:tc>
          <w:tcPr>
            <w:tcW w:w="1636" w:type="dxa"/>
            <w:tcBorders>
              <w:top w:val="nil"/>
              <w:left w:val="nil"/>
              <w:bottom w:val="nil"/>
              <w:right w:val="nil"/>
            </w:tcBorders>
            <w:shd w:val="clear" w:color="auto" w:fill="auto"/>
            <w:noWrap/>
            <w:vAlign w:val="bottom"/>
            <w:hideMark/>
          </w:tcPr>
          <w:p w14:paraId="4B508DD4" w14:textId="77777777" w:rsidR="00383CEB" w:rsidRPr="00383CEB" w:rsidRDefault="00383CEB" w:rsidP="00383CEB">
            <w:pPr>
              <w:spacing w:after="0" w:line="240" w:lineRule="auto"/>
              <w:rPr>
                <w:rFonts w:ascii="Calibri" w:eastAsia="Times New Roman" w:hAnsi="Calibri" w:cs="Calibri"/>
                <w:color w:val="000000"/>
                <w:lang w:eastAsia="en-NZ"/>
              </w:rPr>
            </w:pPr>
            <w:r w:rsidRPr="00383CEB">
              <w:rPr>
                <w:rFonts w:ascii="Calibri" w:eastAsia="Times New Roman" w:hAnsi="Calibri" w:cs="Calibri"/>
                <w:color w:val="000000"/>
                <w:lang w:eastAsia="en-NZ"/>
              </w:rPr>
              <w:t>Benin</w:t>
            </w:r>
          </w:p>
        </w:tc>
        <w:tc>
          <w:tcPr>
            <w:tcW w:w="976" w:type="dxa"/>
            <w:tcBorders>
              <w:top w:val="nil"/>
              <w:left w:val="nil"/>
              <w:bottom w:val="nil"/>
              <w:right w:val="nil"/>
            </w:tcBorders>
            <w:shd w:val="clear" w:color="auto" w:fill="auto"/>
            <w:noWrap/>
            <w:vAlign w:val="bottom"/>
            <w:hideMark/>
          </w:tcPr>
          <w:p w14:paraId="6C5DE5A4" w14:textId="77777777" w:rsidR="00383CEB" w:rsidRPr="00383CEB" w:rsidRDefault="00383CEB" w:rsidP="00383CEB">
            <w:pPr>
              <w:spacing w:after="0" w:line="240" w:lineRule="auto"/>
              <w:rPr>
                <w:rFonts w:ascii="Calibri" w:eastAsia="Times New Roman" w:hAnsi="Calibri" w:cs="Calibri"/>
                <w:color w:val="000000"/>
                <w:lang w:eastAsia="en-NZ"/>
              </w:rPr>
            </w:pPr>
          </w:p>
        </w:tc>
        <w:tc>
          <w:tcPr>
            <w:tcW w:w="976" w:type="dxa"/>
            <w:tcBorders>
              <w:top w:val="nil"/>
              <w:left w:val="nil"/>
              <w:bottom w:val="nil"/>
              <w:right w:val="nil"/>
            </w:tcBorders>
            <w:shd w:val="clear" w:color="auto" w:fill="auto"/>
            <w:noWrap/>
            <w:vAlign w:val="bottom"/>
            <w:hideMark/>
          </w:tcPr>
          <w:p w14:paraId="693FA66F" w14:textId="77777777" w:rsidR="00383CEB" w:rsidRPr="00383CEB" w:rsidRDefault="00383CEB" w:rsidP="00383CEB">
            <w:pPr>
              <w:spacing w:after="0" w:line="240" w:lineRule="auto"/>
              <w:rPr>
                <w:rFonts w:ascii="Times New Roman" w:eastAsia="Times New Roman" w:hAnsi="Times New Roman" w:cs="Times New Roman"/>
                <w:sz w:val="20"/>
                <w:szCs w:val="20"/>
                <w:lang w:eastAsia="en-NZ"/>
              </w:rPr>
            </w:pPr>
          </w:p>
        </w:tc>
        <w:tc>
          <w:tcPr>
            <w:tcW w:w="976" w:type="dxa"/>
            <w:tcBorders>
              <w:top w:val="nil"/>
              <w:left w:val="nil"/>
              <w:bottom w:val="nil"/>
              <w:right w:val="nil"/>
            </w:tcBorders>
            <w:shd w:val="clear" w:color="auto" w:fill="auto"/>
            <w:noWrap/>
            <w:vAlign w:val="bottom"/>
            <w:hideMark/>
          </w:tcPr>
          <w:p w14:paraId="49E0D2DB" w14:textId="77777777" w:rsidR="00383CEB" w:rsidRPr="00383CEB" w:rsidRDefault="00383CEB" w:rsidP="00383CEB">
            <w:pPr>
              <w:spacing w:after="0" w:line="240" w:lineRule="auto"/>
              <w:rPr>
                <w:rFonts w:ascii="Times New Roman" w:eastAsia="Times New Roman" w:hAnsi="Times New Roman" w:cs="Times New Roman"/>
                <w:sz w:val="20"/>
                <w:szCs w:val="20"/>
                <w:lang w:eastAsia="en-NZ"/>
              </w:rPr>
            </w:pPr>
          </w:p>
        </w:tc>
        <w:tc>
          <w:tcPr>
            <w:tcW w:w="976" w:type="dxa"/>
            <w:tcBorders>
              <w:top w:val="nil"/>
              <w:left w:val="nil"/>
              <w:bottom w:val="nil"/>
              <w:right w:val="nil"/>
            </w:tcBorders>
            <w:shd w:val="clear" w:color="auto" w:fill="auto"/>
            <w:noWrap/>
            <w:vAlign w:val="bottom"/>
            <w:hideMark/>
          </w:tcPr>
          <w:p w14:paraId="5105EFED" w14:textId="77777777" w:rsidR="00383CEB" w:rsidRPr="00383CEB" w:rsidRDefault="00383CEB" w:rsidP="00383CEB">
            <w:pPr>
              <w:spacing w:after="0" w:line="240" w:lineRule="auto"/>
              <w:jc w:val="right"/>
              <w:rPr>
                <w:rFonts w:ascii="Calibri" w:eastAsia="Times New Roman" w:hAnsi="Calibri" w:cs="Calibri"/>
                <w:color w:val="000000"/>
                <w:lang w:eastAsia="en-NZ"/>
              </w:rPr>
            </w:pPr>
            <w:r w:rsidRPr="00383CEB">
              <w:rPr>
                <w:rFonts w:ascii="Calibri" w:eastAsia="Times New Roman" w:hAnsi="Calibri" w:cs="Calibri"/>
                <w:color w:val="000000"/>
                <w:lang w:eastAsia="en-NZ"/>
              </w:rPr>
              <w:t>1</w:t>
            </w:r>
          </w:p>
        </w:tc>
        <w:tc>
          <w:tcPr>
            <w:tcW w:w="976" w:type="dxa"/>
            <w:tcBorders>
              <w:top w:val="nil"/>
              <w:left w:val="nil"/>
              <w:bottom w:val="nil"/>
              <w:right w:val="nil"/>
            </w:tcBorders>
            <w:shd w:val="clear" w:color="auto" w:fill="auto"/>
            <w:noWrap/>
            <w:vAlign w:val="bottom"/>
            <w:hideMark/>
          </w:tcPr>
          <w:p w14:paraId="6BD2452A" w14:textId="77777777" w:rsidR="00383CEB" w:rsidRPr="00383CEB" w:rsidRDefault="00383CEB" w:rsidP="00383CEB">
            <w:pPr>
              <w:spacing w:after="0" w:line="240" w:lineRule="auto"/>
              <w:jc w:val="right"/>
              <w:rPr>
                <w:rFonts w:ascii="Calibri" w:eastAsia="Times New Roman" w:hAnsi="Calibri" w:cs="Calibri"/>
                <w:color w:val="000000"/>
                <w:lang w:eastAsia="en-NZ"/>
              </w:rPr>
            </w:pPr>
            <w:r w:rsidRPr="00383CEB">
              <w:rPr>
                <w:rFonts w:ascii="Calibri" w:eastAsia="Times New Roman" w:hAnsi="Calibri" w:cs="Calibri"/>
                <w:color w:val="000000"/>
                <w:lang w:eastAsia="en-NZ"/>
              </w:rPr>
              <w:t>45</w:t>
            </w:r>
          </w:p>
        </w:tc>
        <w:tc>
          <w:tcPr>
            <w:tcW w:w="976" w:type="dxa"/>
            <w:tcBorders>
              <w:top w:val="nil"/>
              <w:left w:val="nil"/>
              <w:bottom w:val="nil"/>
              <w:right w:val="nil"/>
            </w:tcBorders>
            <w:shd w:val="clear" w:color="auto" w:fill="auto"/>
            <w:noWrap/>
            <w:vAlign w:val="bottom"/>
            <w:hideMark/>
          </w:tcPr>
          <w:p w14:paraId="7CB455F0" w14:textId="77777777" w:rsidR="00383CEB" w:rsidRPr="00383CEB" w:rsidRDefault="00383CEB" w:rsidP="00383CEB">
            <w:pPr>
              <w:spacing w:after="0" w:line="240" w:lineRule="auto"/>
              <w:jc w:val="right"/>
              <w:rPr>
                <w:rFonts w:ascii="Calibri" w:eastAsia="Times New Roman" w:hAnsi="Calibri" w:cs="Calibri"/>
                <w:color w:val="000000"/>
                <w:lang w:eastAsia="en-NZ"/>
              </w:rPr>
            </w:pPr>
            <w:r w:rsidRPr="00383CEB">
              <w:rPr>
                <w:rFonts w:ascii="Calibri" w:eastAsia="Times New Roman" w:hAnsi="Calibri" w:cs="Calibri"/>
                <w:color w:val="000000"/>
                <w:lang w:eastAsia="en-NZ"/>
              </w:rPr>
              <w:t>39</w:t>
            </w:r>
          </w:p>
        </w:tc>
        <w:tc>
          <w:tcPr>
            <w:tcW w:w="1296" w:type="dxa"/>
            <w:tcBorders>
              <w:top w:val="nil"/>
              <w:left w:val="nil"/>
              <w:bottom w:val="nil"/>
              <w:right w:val="nil"/>
            </w:tcBorders>
            <w:shd w:val="clear" w:color="auto" w:fill="auto"/>
            <w:noWrap/>
            <w:vAlign w:val="bottom"/>
            <w:hideMark/>
          </w:tcPr>
          <w:p w14:paraId="2D51D7CB" w14:textId="77777777" w:rsidR="00383CEB" w:rsidRPr="00383CEB" w:rsidRDefault="00383CEB" w:rsidP="00383CEB">
            <w:pPr>
              <w:spacing w:after="0" w:line="240" w:lineRule="auto"/>
              <w:jc w:val="right"/>
              <w:rPr>
                <w:rFonts w:ascii="Calibri" w:eastAsia="Times New Roman" w:hAnsi="Calibri" w:cs="Calibri"/>
                <w:color w:val="00B050"/>
                <w:lang w:eastAsia="en-NZ"/>
              </w:rPr>
            </w:pPr>
            <w:r w:rsidRPr="00383CEB">
              <w:rPr>
                <w:rFonts w:ascii="Calibri" w:eastAsia="Times New Roman" w:hAnsi="Calibri" w:cs="Calibri"/>
                <w:color w:val="00B050"/>
                <w:lang w:eastAsia="en-NZ"/>
              </w:rPr>
              <w:t>38</w:t>
            </w:r>
          </w:p>
        </w:tc>
        <w:tc>
          <w:tcPr>
            <w:tcW w:w="1256" w:type="dxa"/>
            <w:tcBorders>
              <w:top w:val="nil"/>
              <w:left w:val="nil"/>
              <w:bottom w:val="nil"/>
              <w:right w:val="nil"/>
            </w:tcBorders>
            <w:shd w:val="clear" w:color="auto" w:fill="auto"/>
            <w:noWrap/>
            <w:vAlign w:val="bottom"/>
            <w:hideMark/>
          </w:tcPr>
          <w:p w14:paraId="37D0471C" w14:textId="77777777" w:rsidR="00383CEB" w:rsidRPr="00383CEB" w:rsidRDefault="00383CEB" w:rsidP="00383CEB">
            <w:pPr>
              <w:spacing w:after="0" w:line="240" w:lineRule="auto"/>
              <w:jc w:val="right"/>
              <w:rPr>
                <w:rFonts w:ascii="Calibri" w:eastAsia="Times New Roman" w:hAnsi="Calibri" w:cs="Calibri"/>
                <w:color w:val="FF0000"/>
                <w:lang w:eastAsia="en-NZ"/>
              </w:rPr>
            </w:pPr>
            <w:r w:rsidRPr="00383CEB">
              <w:rPr>
                <w:rFonts w:ascii="Calibri" w:eastAsia="Times New Roman" w:hAnsi="Calibri" w:cs="Calibri"/>
                <w:color w:val="FF0000"/>
                <w:lang w:eastAsia="en-NZ"/>
              </w:rPr>
              <w:t>-6</w:t>
            </w:r>
          </w:p>
        </w:tc>
      </w:tr>
      <w:tr w:rsidR="00383CEB" w:rsidRPr="00383CEB" w14:paraId="12D64B51" w14:textId="77777777" w:rsidTr="00383CEB">
        <w:trPr>
          <w:trHeight w:val="290"/>
        </w:trPr>
        <w:tc>
          <w:tcPr>
            <w:tcW w:w="1636" w:type="dxa"/>
            <w:tcBorders>
              <w:top w:val="nil"/>
              <w:left w:val="nil"/>
              <w:bottom w:val="nil"/>
              <w:right w:val="nil"/>
            </w:tcBorders>
            <w:shd w:val="clear" w:color="auto" w:fill="auto"/>
            <w:noWrap/>
            <w:vAlign w:val="bottom"/>
            <w:hideMark/>
          </w:tcPr>
          <w:p w14:paraId="08247DD3" w14:textId="77777777" w:rsidR="00383CEB" w:rsidRPr="00383CEB" w:rsidRDefault="00383CEB" w:rsidP="00383CEB">
            <w:pPr>
              <w:spacing w:after="0" w:line="240" w:lineRule="auto"/>
              <w:rPr>
                <w:rFonts w:ascii="Calibri" w:eastAsia="Times New Roman" w:hAnsi="Calibri" w:cs="Calibri"/>
                <w:color w:val="000000"/>
                <w:lang w:eastAsia="en-NZ"/>
              </w:rPr>
            </w:pPr>
            <w:r w:rsidRPr="00383CEB">
              <w:rPr>
                <w:rFonts w:ascii="Calibri" w:eastAsia="Times New Roman" w:hAnsi="Calibri" w:cs="Calibri"/>
                <w:color w:val="000000"/>
                <w:lang w:eastAsia="en-NZ"/>
              </w:rPr>
              <w:t xml:space="preserve">Brazil </w:t>
            </w:r>
          </w:p>
        </w:tc>
        <w:tc>
          <w:tcPr>
            <w:tcW w:w="976" w:type="dxa"/>
            <w:tcBorders>
              <w:top w:val="nil"/>
              <w:left w:val="nil"/>
              <w:bottom w:val="nil"/>
              <w:right w:val="nil"/>
            </w:tcBorders>
            <w:shd w:val="clear" w:color="auto" w:fill="auto"/>
            <w:noWrap/>
            <w:vAlign w:val="bottom"/>
            <w:hideMark/>
          </w:tcPr>
          <w:p w14:paraId="7AFBC996" w14:textId="77777777" w:rsidR="00383CEB" w:rsidRPr="00383CEB" w:rsidRDefault="00383CEB" w:rsidP="00383CEB">
            <w:pPr>
              <w:spacing w:after="0" w:line="240" w:lineRule="auto"/>
              <w:jc w:val="right"/>
              <w:rPr>
                <w:rFonts w:ascii="Calibri" w:eastAsia="Times New Roman" w:hAnsi="Calibri" w:cs="Calibri"/>
                <w:color w:val="000000"/>
                <w:lang w:eastAsia="en-NZ"/>
              </w:rPr>
            </w:pPr>
            <w:r w:rsidRPr="00383CEB">
              <w:rPr>
                <w:rFonts w:ascii="Calibri" w:eastAsia="Times New Roman" w:hAnsi="Calibri" w:cs="Calibri"/>
                <w:color w:val="000000"/>
                <w:lang w:eastAsia="en-NZ"/>
              </w:rPr>
              <w:t>74</w:t>
            </w:r>
          </w:p>
        </w:tc>
        <w:tc>
          <w:tcPr>
            <w:tcW w:w="976" w:type="dxa"/>
            <w:tcBorders>
              <w:top w:val="nil"/>
              <w:left w:val="nil"/>
              <w:bottom w:val="nil"/>
              <w:right w:val="nil"/>
            </w:tcBorders>
            <w:shd w:val="clear" w:color="auto" w:fill="auto"/>
            <w:noWrap/>
            <w:vAlign w:val="bottom"/>
            <w:hideMark/>
          </w:tcPr>
          <w:p w14:paraId="287179B4" w14:textId="77777777" w:rsidR="00383CEB" w:rsidRPr="00383CEB" w:rsidRDefault="00383CEB" w:rsidP="00383CEB">
            <w:pPr>
              <w:spacing w:after="0" w:line="240" w:lineRule="auto"/>
              <w:jc w:val="right"/>
              <w:rPr>
                <w:rFonts w:ascii="Calibri" w:eastAsia="Times New Roman" w:hAnsi="Calibri" w:cs="Calibri"/>
                <w:color w:val="000000"/>
                <w:lang w:eastAsia="en-NZ"/>
              </w:rPr>
            </w:pPr>
            <w:r w:rsidRPr="00383CEB">
              <w:rPr>
                <w:rFonts w:ascii="Calibri" w:eastAsia="Times New Roman" w:hAnsi="Calibri" w:cs="Calibri"/>
                <w:color w:val="000000"/>
                <w:lang w:eastAsia="en-NZ"/>
              </w:rPr>
              <w:t>74</w:t>
            </w:r>
          </w:p>
        </w:tc>
        <w:tc>
          <w:tcPr>
            <w:tcW w:w="976" w:type="dxa"/>
            <w:tcBorders>
              <w:top w:val="nil"/>
              <w:left w:val="nil"/>
              <w:bottom w:val="nil"/>
              <w:right w:val="nil"/>
            </w:tcBorders>
            <w:shd w:val="clear" w:color="auto" w:fill="auto"/>
            <w:noWrap/>
            <w:vAlign w:val="bottom"/>
            <w:hideMark/>
          </w:tcPr>
          <w:p w14:paraId="2456ABC2" w14:textId="77777777" w:rsidR="00383CEB" w:rsidRPr="00383CEB" w:rsidRDefault="00383CEB" w:rsidP="00383CEB">
            <w:pPr>
              <w:spacing w:after="0" w:line="240" w:lineRule="auto"/>
              <w:jc w:val="right"/>
              <w:rPr>
                <w:rFonts w:ascii="Calibri" w:eastAsia="Times New Roman" w:hAnsi="Calibri" w:cs="Calibri"/>
                <w:color w:val="000000"/>
                <w:lang w:eastAsia="en-NZ"/>
              </w:rPr>
            </w:pPr>
            <w:r w:rsidRPr="00383CEB">
              <w:rPr>
                <w:rFonts w:ascii="Calibri" w:eastAsia="Times New Roman" w:hAnsi="Calibri" w:cs="Calibri"/>
                <w:color w:val="000000"/>
                <w:lang w:eastAsia="en-NZ"/>
              </w:rPr>
              <w:t>71</w:t>
            </w:r>
          </w:p>
        </w:tc>
        <w:tc>
          <w:tcPr>
            <w:tcW w:w="976" w:type="dxa"/>
            <w:tcBorders>
              <w:top w:val="nil"/>
              <w:left w:val="nil"/>
              <w:bottom w:val="nil"/>
              <w:right w:val="nil"/>
            </w:tcBorders>
            <w:shd w:val="clear" w:color="auto" w:fill="auto"/>
            <w:noWrap/>
            <w:vAlign w:val="bottom"/>
            <w:hideMark/>
          </w:tcPr>
          <w:p w14:paraId="2C080240" w14:textId="77777777" w:rsidR="00383CEB" w:rsidRPr="00383CEB" w:rsidRDefault="00383CEB" w:rsidP="00383CEB">
            <w:pPr>
              <w:spacing w:after="0" w:line="240" w:lineRule="auto"/>
              <w:jc w:val="right"/>
              <w:rPr>
                <w:rFonts w:ascii="Calibri" w:eastAsia="Times New Roman" w:hAnsi="Calibri" w:cs="Calibri"/>
                <w:color w:val="000000"/>
                <w:lang w:eastAsia="en-NZ"/>
              </w:rPr>
            </w:pPr>
            <w:r w:rsidRPr="00383CEB">
              <w:rPr>
                <w:rFonts w:ascii="Calibri" w:eastAsia="Times New Roman" w:hAnsi="Calibri" w:cs="Calibri"/>
                <w:color w:val="000000"/>
                <w:lang w:eastAsia="en-NZ"/>
              </w:rPr>
              <w:t>73</w:t>
            </w:r>
          </w:p>
        </w:tc>
        <w:tc>
          <w:tcPr>
            <w:tcW w:w="976" w:type="dxa"/>
            <w:tcBorders>
              <w:top w:val="nil"/>
              <w:left w:val="nil"/>
              <w:bottom w:val="nil"/>
              <w:right w:val="nil"/>
            </w:tcBorders>
            <w:shd w:val="clear" w:color="auto" w:fill="auto"/>
            <w:noWrap/>
            <w:vAlign w:val="bottom"/>
            <w:hideMark/>
          </w:tcPr>
          <w:p w14:paraId="4A4B23BF" w14:textId="77777777" w:rsidR="00383CEB" w:rsidRPr="00383CEB" w:rsidRDefault="00383CEB" w:rsidP="00383CEB">
            <w:pPr>
              <w:spacing w:after="0" w:line="240" w:lineRule="auto"/>
              <w:jc w:val="right"/>
              <w:rPr>
                <w:rFonts w:ascii="Calibri" w:eastAsia="Times New Roman" w:hAnsi="Calibri" w:cs="Calibri"/>
                <w:color w:val="000000"/>
                <w:lang w:eastAsia="en-NZ"/>
              </w:rPr>
            </w:pPr>
            <w:r w:rsidRPr="00383CEB">
              <w:rPr>
                <w:rFonts w:ascii="Calibri" w:eastAsia="Times New Roman" w:hAnsi="Calibri" w:cs="Calibri"/>
                <w:color w:val="000000"/>
                <w:lang w:eastAsia="en-NZ"/>
              </w:rPr>
              <w:t>77</w:t>
            </w:r>
          </w:p>
        </w:tc>
        <w:tc>
          <w:tcPr>
            <w:tcW w:w="976" w:type="dxa"/>
            <w:tcBorders>
              <w:top w:val="nil"/>
              <w:left w:val="nil"/>
              <w:bottom w:val="nil"/>
              <w:right w:val="nil"/>
            </w:tcBorders>
            <w:shd w:val="clear" w:color="auto" w:fill="auto"/>
            <w:noWrap/>
            <w:vAlign w:val="bottom"/>
            <w:hideMark/>
          </w:tcPr>
          <w:p w14:paraId="3FA72FB4" w14:textId="77777777" w:rsidR="00383CEB" w:rsidRPr="00383CEB" w:rsidRDefault="00383CEB" w:rsidP="00383CEB">
            <w:pPr>
              <w:spacing w:after="0" w:line="240" w:lineRule="auto"/>
              <w:jc w:val="right"/>
              <w:rPr>
                <w:rFonts w:ascii="Calibri" w:eastAsia="Times New Roman" w:hAnsi="Calibri" w:cs="Calibri"/>
                <w:color w:val="000000"/>
                <w:lang w:eastAsia="en-NZ"/>
              </w:rPr>
            </w:pPr>
            <w:r w:rsidRPr="00383CEB">
              <w:rPr>
                <w:rFonts w:ascii="Calibri" w:eastAsia="Times New Roman" w:hAnsi="Calibri" w:cs="Calibri"/>
                <w:color w:val="000000"/>
                <w:lang w:eastAsia="en-NZ"/>
              </w:rPr>
              <w:t>77</w:t>
            </w:r>
          </w:p>
        </w:tc>
        <w:tc>
          <w:tcPr>
            <w:tcW w:w="1296" w:type="dxa"/>
            <w:tcBorders>
              <w:top w:val="nil"/>
              <w:left w:val="nil"/>
              <w:bottom w:val="nil"/>
              <w:right w:val="nil"/>
            </w:tcBorders>
            <w:shd w:val="clear" w:color="auto" w:fill="auto"/>
            <w:noWrap/>
            <w:vAlign w:val="bottom"/>
            <w:hideMark/>
          </w:tcPr>
          <w:p w14:paraId="0BDDD3A7" w14:textId="77777777" w:rsidR="00383CEB" w:rsidRPr="00383CEB" w:rsidRDefault="00383CEB" w:rsidP="00383CEB">
            <w:pPr>
              <w:spacing w:after="0" w:line="240" w:lineRule="auto"/>
              <w:jc w:val="right"/>
              <w:rPr>
                <w:rFonts w:ascii="Calibri" w:eastAsia="Times New Roman" w:hAnsi="Calibri" w:cs="Calibri"/>
                <w:color w:val="00B050"/>
                <w:lang w:eastAsia="en-NZ"/>
              </w:rPr>
            </w:pPr>
            <w:r w:rsidRPr="00383CEB">
              <w:rPr>
                <w:rFonts w:ascii="Calibri" w:eastAsia="Times New Roman" w:hAnsi="Calibri" w:cs="Calibri"/>
                <w:color w:val="00B050"/>
                <w:lang w:eastAsia="en-NZ"/>
              </w:rPr>
              <w:t>3</w:t>
            </w:r>
          </w:p>
        </w:tc>
        <w:tc>
          <w:tcPr>
            <w:tcW w:w="1256" w:type="dxa"/>
            <w:tcBorders>
              <w:top w:val="nil"/>
              <w:left w:val="nil"/>
              <w:bottom w:val="nil"/>
              <w:right w:val="nil"/>
            </w:tcBorders>
            <w:shd w:val="clear" w:color="auto" w:fill="auto"/>
            <w:noWrap/>
            <w:vAlign w:val="bottom"/>
            <w:hideMark/>
          </w:tcPr>
          <w:p w14:paraId="580D572D" w14:textId="77777777" w:rsidR="00383CEB" w:rsidRPr="00383CEB" w:rsidRDefault="00383CEB" w:rsidP="00383CEB">
            <w:pPr>
              <w:spacing w:after="0" w:line="240" w:lineRule="auto"/>
              <w:jc w:val="right"/>
              <w:rPr>
                <w:rFonts w:ascii="Calibri" w:eastAsia="Times New Roman" w:hAnsi="Calibri" w:cs="Calibri"/>
                <w:color w:val="000000"/>
                <w:lang w:eastAsia="en-NZ"/>
              </w:rPr>
            </w:pPr>
            <w:r w:rsidRPr="00383CEB">
              <w:rPr>
                <w:rFonts w:ascii="Calibri" w:eastAsia="Times New Roman" w:hAnsi="Calibri" w:cs="Calibri"/>
                <w:color w:val="000000"/>
                <w:lang w:eastAsia="en-NZ"/>
              </w:rPr>
              <w:t>0</w:t>
            </w:r>
          </w:p>
        </w:tc>
      </w:tr>
      <w:tr w:rsidR="00383CEB" w:rsidRPr="00383CEB" w14:paraId="6C2ACD80" w14:textId="77777777" w:rsidTr="00383CEB">
        <w:trPr>
          <w:trHeight w:val="290"/>
        </w:trPr>
        <w:tc>
          <w:tcPr>
            <w:tcW w:w="1636" w:type="dxa"/>
            <w:tcBorders>
              <w:top w:val="nil"/>
              <w:left w:val="nil"/>
              <w:bottom w:val="nil"/>
              <w:right w:val="nil"/>
            </w:tcBorders>
            <w:shd w:val="clear" w:color="auto" w:fill="auto"/>
            <w:noWrap/>
            <w:vAlign w:val="bottom"/>
            <w:hideMark/>
          </w:tcPr>
          <w:p w14:paraId="42142077" w14:textId="77777777" w:rsidR="00383CEB" w:rsidRPr="00383CEB" w:rsidRDefault="00383CEB" w:rsidP="00383CEB">
            <w:pPr>
              <w:spacing w:after="0" w:line="240" w:lineRule="auto"/>
              <w:rPr>
                <w:rFonts w:ascii="Calibri" w:eastAsia="Times New Roman" w:hAnsi="Calibri" w:cs="Calibri"/>
                <w:color w:val="000000"/>
                <w:lang w:eastAsia="en-NZ"/>
              </w:rPr>
            </w:pPr>
            <w:r w:rsidRPr="00383CEB">
              <w:rPr>
                <w:rFonts w:ascii="Calibri" w:eastAsia="Times New Roman" w:hAnsi="Calibri" w:cs="Calibri"/>
                <w:color w:val="000000"/>
                <w:lang w:eastAsia="en-NZ"/>
              </w:rPr>
              <w:t>Chile</w:t>
            </w:r>
          </w:p>
        </w:tc>
        <w:tc>
          <w:tcPr>
            <w:tcW w:w="976" w:type="dxa"/>
            <w:tcBorders>
              <w:top w:val="nil"/>
              <w:left w:val="nil"/>
              <w:bottom w:val="nil"/>
              <w:right w:val="nil"/>
            </w:tcBorders>
            <w:shd w:val="clear" w:color="auto" w:fill="auto"/>
            <w:noWrap/>
            <w:vAlign w:val="bottom"/>
            <w:hideMark/>
          </w:tcPr>
          <w:p w14:paraId="192E5E5C" w14:textId="77777777" w:rsidR="00383CEB" w:rsidRPr="00383CEB" w:rsidRDefault="00383CEB" w:rsidP="00383CEB">
            <w:pPr>
              <w:spacing w:after="0" w:line="240" w:lineRule="auto"/>
              <w:rPr>
                <w:rFonts w:ascii="Calibri" w:eastAsia="Times New Roman" w:hAnsi="Calibri" w:cs="Calibri"/>
                <w:color w:val="000000"/>
                <w:lang w:eastAsia="en-NZ"/>
              </w:rPr>
            </w:pPr>
          </w:p>
        </w:tc>
        <w:tc>
          <w:tcPr>
            <w:tcW w:w="976" w:type="dxa"/>
            <w:tcBorders>
              <w:top w:val="nil"/>
              <w:left w:val="nil"/>
              <w:bottom w:val="nil"/>
              <w:right w:val="nil"/>
            </w:tcBorders>
            <w:shd w:val="clear" w:color="auto" w:fill="auto"/>
            <w:noWrap/>
            <w:vAlign w:val="bottom"/>
            <w:hideMark/>
          </w:tcPr>
          <w:p w14:paraId="22E69CD5" w14:textId="77777777" w:rsidR="00383CEB" w:rsidRPr="00383CEB" w:rsidRDefault="00383CEB" w:rsidP="00383CEB">
            <w:pPr>
              <w:spacing w:after="0" w:line="240" w:lineRule="auto"/>
              <w:rPr>
                <w:rFonts w:ascii="Times New Roman" w:eastAsia="Times New Roman" w:hAnsi="Times New Roman" w:cs="Times New Roman"/>
                <w:sz w:val="20"/>
                <w:szCs w:val="20"/>
                <w:lang w:eastAsia="en-NZ"/>
              </w:rPr>
            </w:pPr>
          </w:p>
        </w:tc>
        <w:tc>
          <w:tcPr>
            <w:tcW w:w="976" w:type="dxa"/>
            <w:tcBorders>
              <w:top w:val="nil"/>
              <w:left w:val="nil"/>
              <w:bottom w:val="nil"/>
              <w:right w:val="nil"/>
            </w:tcBorders>
            <w:shd w:val="clear" w:color="auto" w:fill="auto"/>
            <w:noWrap/>
            <w:vAlign w:val="bottom"/>
            <w:hideMark/>
          </w:tcPr>
          <w:p w14:paraId="041B4DB5" w14:textId="77777777" w:rsidR="00383CEB" w:rsidRPr="00383CEB" w:rsidRDefault="00383CEB" w:rsidP="00383CEB">
            <w:pPr>
              <w:spacing w:after="0" w:line="240" w:lineRule="auto"/>
              <w:jc w:val="right"/>
              <w:rPr>
                <w:rFonts w:ascii="Calibri" w:eastAsia="Times New Roman" w:hAnsi="Calibri" w:cs="Calibri"/>
                <w:color w:val="000000"/>
                <w:lang w:eastAsia="en-NZ"/>
              </w:rPr>
            </w:pPr>
            <w:r w:rsidRPr="00383CEB">
              <w:rPr>
                <w:rFonts w:ascii="Calibri" w:eastAsia="Times New Roman" w:hAnsi="Calibri" w:cs="Calibri"/>
                <w:color w:val="000000"/>
                <w:lang w:eastAsia="en-NZ"/>
              </w:rPr>
              <w:t>72</w:t>
            </w:r>
          </w:p>
        </w:tc>
        <w:tc>
          <w:tcPr>
            <w:tcW w:w="976" w:type="dxa"/>
            <w:tcBorders>
              <w:top w:val="nil"/>
              <w:left w:val="nil"/>
              <w:bottom w:val="nil"/>
              <w:right w:val="nil"/>
            </w:tcBorders>
            <w:shd w:val="clear" w:color="auto" w:fill="auto"/>
            <w:noWrap/>
            <w:vAlign w:val="bottom"/>
            <w:hideMark/>
          </w:tcPr>
          <w:p w14:paraId="2680C051" w14:textId="77777777" w:rsidR="00383CEB" w:rsidRPr="00383CEB" w:rsidRDefault="00383CEB" w:rsidP="00383CEB">
            <w:pPr>
              <w:spacing w:after="0" w:line="240" w:lineRule="auto"/>
              <w:jc w:val="right"/>
              <w:rPr>
                <w:rFonts w:ascii="Calibri" w:eastAsia="Times New Roman" w:hAnsi="Calibri" w:cs="Calibri"/>
                <w:color w:val="000000"/>
                <w:lang w:eastAsia="en-NZ"/>
              </w:rPr>
            </w:pPr>
            <w:r w:rsidRPr="00383CEB">
              <w:rPr>
                <w:rFonts w:ascii="Calibri" w:eastAsia="Times New Roman" w:hAnsi="Calibri" w:cs="Calibri"/>
                <w:color w:val="000000"/>
                <w:lang w:eastAsia="en-NZ"/>
              </w:rPr>
              <w:t>66</w:t>
            </w:r>
          </w:p>
        </w:tc>
        <w:tc>
          <w:tcPr>
            <w:tcW w:w="976" w:type="dxa"/>
            <w:tcBorders>
              <w:top w:val="nil"/>
              <w:left w:val="nil"/>
              <w:bottom w:val="nil"/>
              <w:right w:val="nil"/>
            </w:tcBorders>
            <w:shd w:val="clear" w:color="auto" w:fill="auto"/>
            <w:noWrap/>
            <w:vAlign w:val="bottom"/>
            <w:hideMark/>
          </w:tcPr>
          <w:p w14:paraId="345EB9AB" w14:textId="77777777" w:rsidR="00383CEB" w:rsidRPr="00383CEB" w:rsidRDefault="00383CEB" w:rsidP="00383CEB">
            <w:pPr>
              <w:spacing w:after="0" w:line="240" w:lineRule="auto"/>
              <w:jc w:val="right"/>
              <w:rPr>
                <w:rFonts w:ascii="Calibri" w:eastAsia="Times New Roman" w:hAnsi="Calibri" w:cs="Calibri"/>
                <w:color w:val="000000"/>
                <w:lang w:eastAsia="en-NZ"/>
              </w:rPr>
            </w:pPr>
            <w:r w:rsidRPr="00383CEB">
              <w:rPr>
                <w:rFonts w:ascii="Calibri" w:eastAsia="Times New Roman" w:hAnsi="Calibri" w:cs="Calibri"/>
                <w:color w:val="000000"/>
                <w:lang w:eastAsia="en-NZ"/>
              </w:rPr>
              <w:t>58</w:t>
            </w:r>
          </w:p>
        </w:tc>
        <w:tc>
          <w:tcPr>
            <w:tcW w:w="976" w:type="dxa"/>
            <w:tcBorders>
              <w:top w:val="nil"/>
              <w:left w:val="nil"/>
              <w:bottom w:val="nil"/>
              <w:right w:val="nil"/>
            </w:tcBorders>
            <w:shd w:val="clear" w:color="auto" w:fill="auto"/>
            <w:noWrap/>
            <w:vAlign w:val="bottom"/>
            <w:hideMark/>
          </w:tcPr>
          <w:p w14:paraId="3105B195" w14:textId="77777777" w:rsidR="00383CEB" w:rsidRPr="00383CEB" w:rsidRDefault="00383CEB" w:rsidP="00383CEB">
            <w:pPr>
              <w:spacing w:after="0" w:line="240" w:lineRule="auto"/>
              <w:jc w:val="right"/>
              <w:rPr>
                <w:rFonts w:ascii="Calibri" w:eastAsia="Times New Roman" w:hAnsi="Calibri" w:cs="Calibri"/>
                <w:color w:val="000000"/>
                <w:lang w:eastAsia="en-NZ"/>
              </w:rPr>
            </w:pPr>
            <w:r w:rsidRPr="00383CEB">
              <w:rPr>
                <w:rFonts w:ascii="Calibri" w:eastAsia="Times New Roman" w:hAnsi="Calibri" w:cs="Calibri"/>
                <w:color w:val="000000"/>
                <w:lang w:eastAsia="en-NZ"/>
              </w:rPr>
              <w:t>57</w:t>
            </w:r>
          </w:p>
        </w:tc>
        <w:tc>
          <w:tcPr>
            <w:tcW w:w="1296" w:type="dxa"/>
            <w:tcBorders>
              <w:top w:val="nil"/>
              <w:left w:val="nil"/>
              <w:bottom w:val="nil"/>
              <w:right w:val="nil"/>
            </w:tcBorders>
            <w:shd w:val="clear" w:color="auto" w:fill="auto"/>
            <w:noWrap/>
            <w:vAlign w:val="bottom"/>
            <w:hideMark/>
          </w:tcPr>
          <w:p w14:paraId="427A8083" w14:textId="77777777" w:rsidR="00383CEB" w:rsidRPr="00383CEB" w:rsidRDefault="00383CEB" w:rsidP="00383CEB">
            <w:pPr>
              <w:spacing w:after="0" w:line="240" w:lineRule="auto"/>
              <w:jc w:val="right"/>
              <w:rPr>
                <w:rFonts w:ascii="Calibri" w:eastAsia="Times New Roman" w:hAnsi="Calibri" w:cs="Calibri"/>
                <w:color w:val="FF0000"/>
                <w:lang w:eastAsia="en-NZ"/>
              </w:rPr>
            </w:pPr>
            <w:r w:rsidRPr="00383CEB">
              <w:rPr>
                <w:rFonts w:ascii="Calibri" w:eastAsia="Times New Roman" w:hAnsi="Calibri" w:cs="Calibri"/>
                <w:color w:val="FF0000"/>
                <w:lang w:eastAsia="en-NZ"/>
              </w:rPr>
              <w:t>-15</w:t>
            </w:r>
          </w:p>
        </w:tc>
        <w:tc>
          <w:tcPr>
            <w:tcW w:w="1256" w:type="dxa"/>
            <w:tcBorders>
              <w:top w:val="nil"/>
              <w:left w:val="nil"/>
              <w:bottom w:val="nil"/>
              <w:right w:val="nil"/>
            </w:tcBorders>
            <w:shd w:val="clear" w:color="auto" w:fill="auto"/>
            <w:noWrap/>
            <w:vAlign w:val="bottom"/>
            <w:hideMark/>
          </w:tcPr>
          <w:p w14:paraId="70A10431" w14:textId="77777777" w:rsidR="00383CEB" w:rsidRPr="00383CEB" w:rsidRDefault="00383CEB" w:rsidP="00383CEB">
            <w:pPr>
              <w:spacing w:after="0" w:line="240" w:lineRule="auto"/>
              <w:jc w:val="right"/>
              <w:rPr>
                <w:rFonts w:ascii="Calibri" w:eastAsia="Times New Roman" w:hAnsi="Calibri" w:cs="Calibri"/>
                <w:color w:val="FF0000"/>
                <w:lang w:eastAsia="en-NZ"/>
              </w:rPr>
            </w:pPr>
            <w:r w:rsidRPr="00383CEB">
              <w:rPr>
                <w:rFonts w:ascii="Calibri" w:eastAsia="Times New Roman" w:hAnsi="Calibri" w:cs="Calibri"/>
                <w:color w:val="FF0000"/>
                <w:lang w:eastAsia="en-NZ"/>
              </w:rPr>
              <w:t>-1</w:t>
            </w:r>
          </w:p>
        </w:tc>
      </w:tr>
      <w:tr w:rsidR="00383CEB" w:rsidRPr="00383CEB" w14:paraId="7DA990A4" w14:textId="77777777" w:rsidTr="00383CEB">
        <w:trPr>
          <w:trHeight w:val="290"/>
        </w:trPr>
        <w:tc>
          <w:tcPr>
            <w:tcW w:w="1636" w:type="dxa"/>
            <w:tcBorders>
              <w:top w:val="nil"/>
              <w:left w:val="nil"/>
              <w:bottom w:val="nil"/>
              <w:right w:val="nil"/>
            </w:tcBorders>
            <w:shd w:val="clear" w:color="auto" w:fill="auto"/>
            <w:noWrap/>
            <w:vAlign w:val="bottom"/>
            <w:hideMark/>
          </w:tcPr>
          <w:p w14:paraId="411A9186" w14:textId="77777777" w:rsidR="00383CEB" w:rsidRPr="00383CEB" w:rsidRDefault="00383CEB" w:rsidP="00383CEB">
            <w:pPr>
              <w:spacing w:after="0" w:line="240" w:lineRule="auto"/>
              <w:rPr>
                <w:rFonts w:ascii="Calibri" w:eastAsia="Times New Roman" w:hAnsi="Calibri" w:cs="Calibri"/>
                <w:color w:val="000000"/>
                <w:lang w:eastAsia="en-NZ"/>
              </w:rPr>
            </w:pPr>
            <w:r w:rsidRPr="00383CEB">
              <w:rPr>
                <w:rFonts w:ascii="Calibri" w:eastAsia="Times New Roman" w:hAnsi="Calibri" w:cs="Calibri"/>
                <w:color w:val="000000"/>
                <w:lang w:eastAsia="en-NZ"/>
              </w:rPr>
              <w:t>Colombia</w:t>
            </w:r>
          </w:p>
        </w:tc>
        <w:tc>
          <w:tcPr>
            <w:tcW w:w="976" w:type="dxa"/>
            <w:tcBorders>
              <w:top w:val="nil"/>
              <w:left w:val="nil"/>
              <w:bottom w:val="nil"/>
              <w:right w:val="nil"/>
            </w:tcBorders>
            <w:shd w:val="clear" w:color="auto" w:fill="auto"/>
            <w:noWrap/>
            <w:vAlign w:val="bottom"/>
            <w:hideMark/>
          </w:tcPr>
          <w:p w14:paraId="334D9C6B" w14:textId="77777777" w:rsidR="00383CEB" w:rsidRPr="00383CEB" w:rsidRDefault="00383CEB" w:rsidP="00383CEB">
            <w:pPr>
              <w:spacing w:after="0" w:line="240" w:lineRule="auto"/>
              <w:jc w:val="right"/>
              <w:rPr>
                <w:rFonts w:ascii="Calibri" w:eastAsia="Times New Roman" w:hAnsi="Calibri" w:cs="Calibri"/>
                <w:color w:val="000000"/>
                <w:lang w:eastAsia="en-NZ"/>
              </w:rPr>
            </w:pPr>
            <w:r w:rsidRPr="00383CEB">
              <w:rPr>
                <w:rFonts w:ascii="Calibri" w:eastAsia="Times New Roman" w:hAnsi="Calibri" w:cs="Calibri"/>
                <w:color w:val="000000"/>
                <w:lang w:eastAsia="en-NZ"/>
              </w:rPr>
              <w:t>57</w:t>
            </w:r>
          </w:p>
        </w:tc>
        <w:tc>
          <w:tcPr>
            <w:tcW w:w="976" w:type="dxa"/>
            <w:tcBorders>
              <w:top w:val="nil"/>
              <w:left w:val="nil"/>
              <w:bottom w:val="nil"/>
              <w:right w:val="nil"/>
            </w:tcBorders>
            <w:shd w:val="clear" w:color="auto" w:fill="auto"/>
            <w:noWrap/>
            <w:vAlign w:val="bottom"/>
            <w:hideMark/>
          </w:tcPr>
          <w:p w14:paraId="43768D70" w14:textId="77777777" w:rsidR="00383CEB" w:rsidRPr="00383CEB" w:rsidRDefault="00383CEB" w:rsidP="00383CEB">
            <w:pPr>
              <w:spacing w:after="0" w:line="240" w:lineRule="auto"/>
              <w:jc w:val="right"/>
              <w:rPr>
                <w:rFonts w:ascii="Calibri" w:eastAsia="Times New Roman" w:hAnsi="Calibri" w:cs="Calibri"/>
                <w:color w:val="000000"/>
                <w:lang w:eastAsia="en-NZ"/>
              </w:rPr>
            </w:pPr>
            <w:r w:rsidRPr="00383CEB">
              <w:rPr>
                <w:rFonts w:ascii="Calibri" w:eastAsia="Times New Roman" w:hAnsi="Calibri" w:cs="Calibri"/>
                <w:color w:val="000000"/>
                <w:lang w:eastAsia="en-NZ"/>
              </w:rPr>
              <w:t>61</w:t>
            </w:r>
          </w:p>
        </w:tc>
        <w:tc>
          <w:tcPr>
            <w:tcW w:w="976" w:type="dxa"/>
            <w:tcBorders>
              <w:top w:val="nil"/>
              <w:left w:val="nil"/>
              <w:bottom w:val="nil"/>
              <w:right w:val="nil"/>
            </w:tcBorders>
            <w:shd w:val="clear" w:color="auto" w:fill="auto"/>
            <w:noWrap/>
            <w:vAlign w:val="bottom"/>
            <w:hideMark/>
          </w:tcPr>
          <w:p w14:paraId="361CCFFD" w14:textId="77777777" w:rsidR="00383CEB" w:rsidRPr="00383CEB" w:rsidRDefault="00383CEB" w:rsidP="00383CEB">
            <w:pPr>
              <w:spacing w:after="0" w:line="240" w:lineRule="auto"/>
              <w:jc w:val="right"/>
              <w:rPr>
                <w:rFonts w:ascii="Calibri" w:eastAsia="Times New Roman" w:hAnsi="Calibri" w:cs="Calibri"/>
                <w:color w:val="000000"/>
                <w:lang w:eastAsia="en-NZ"/>
              </w:rPr>
            </w:pPr>
            <w:r w:rsidRPr="00383CEB">
              <w:rPr>
                <w:rFonts w:ascii="Calibri" w:eastAsia="Times New Roman" w:hAnsi="Calibri" w:cs="Calibri"/>
                <w:color w:val="000000"/>
                <w:lang w:eastAsia="en-NZ"/>
              </w:rPr>
              <w:t>61</w:t>
            </w:r>
          </w:p>
        </w:tc>
        <w:tc>
          <w:tcPr>
            <w:tcW w:w="976" w:type="dxa"/>
            <w:tcBorders>
              <w:top w:val="nil"/>
              <w:left w:val="nil"/>
              <w:bottom w:val="nil"/>
              <w:right w:val="nil"/>
            </w:tcBorders>
            <w:shd w:val="clear" w:color="auto" w:fill="auto"/>
            <w:noWrap/>
            <w:vAlign w:val="bottom"/>
            <w:hideMark/>
          </w:tcPr>
          <w:p w14:paraId="0A63EFA2" w14:textId="77777777" w:rsidR="00383CEB" w:rsidRPr="00383CEB" w:rsidRDefault="00383CEB" w:rsidP="00383CEB">
            <w:pPr>
              <w:spacing w:after="0" w:line="240" w:lineRule="auto"/>
              <w:jc w:val="right"/>
              <w:rPr>
                <w:rFonts w:ascii="Calibri" w:eastAsia="Times New Roman" w:hAnsi="Calibri" w:cs="Calibri"/>
                <w:color w:val="000000"/>
                <w:lang w:eastAsia="en-NZ"/>
              </w:rPr>
            </w:pPr>
            <w:r w:rsidRPr="00383CEB">
              <w:rPr>
                <w:rFonts w:ascii="Calibri" w:eastAsia="Times New Roman" w:hAnsi="Calibri" w:cs="Calibri"/>
                <w:color w:val="000000"/>
                <w:lang w:eastAsia="en-NZ"/>
              </w:rPr>
              <w:t>58</w:t>
            </w:r>
          </w:p>
        </w:tc>
        <w:tc>
          <w:tcPr>
            <w:tcW w:w="976" w:type="dxa"/>
            <w:tcBorders>
              <w:top w:val="nil"/>
              <w:left w:val="nil"/>
              <w:bottom w:val="nil"/>
              <w:right w:val="nil"/>
            </w:tcBorders>
            <w:shd w:val="clear" w:color="auto" w:fill="auto"/>
            <w:noWrap/>
            <w:vAlign w:val="bottom"/>
            <w:hideMark/>
          </w:tcPr>
          <w:p w14:paraId="36ECE1B5" w14:textId="77777777" w:rsidR="00383CEB" w:rsidRPr="00383CEB" w:rsidRDefault="00383CEB" w:rsidP="00383CEB">
            <w:pPr>
              <w:spacing w:after="0" w:line="240" w:lineRule="auto"/>
              <w:jc w:val="right"/>
              <w:rPr>
                <w:rFonts w:ascii="Calibri" w:eastAsia="Times New Roman" w:hAnsi="Calibri" w:cs="Calibri"/>
                <w:color w:val="000000"/>
                <w:lang w:eastAsia="en-NZ"/>
              </w:rPr>
            </w:pPr>
            <w:r w:rsidRPr="00383CEB">
              <w:rPr>
                <w:rFonts w:ascii="Calibri" w:eastAsia="Times New Roman" w:hAnsi="Calibri" w:cs="Calibri"/>
                <w:color w:val="000000"/>
                <w:lang w:eastAsia="en-NZ"/>
              </w:rPr>
              <w:t>57</w:t>
            </w:r>
          </w:p>
        </w:tc>
        <w:tc>
          <w:tcPr>
            <w:tcW w:w="976" w:type="dxa"/>
            <w:tcBorders>
              <w:top w:val="nil"/>
              <w:left w:val="nil"/>
              <w:bottom w:val="nil"/>
              <w:right w:val="nil"/>
            </w:tcBorders>
            <w:shd w:val="clear" w:color="auto" w:fill="auto"/>
            <w:noWrap/>
            <w:vAlign w:val="bottom"/>
            <w:hideMark/>
          </w:tcPr>
          <w:p w14:paraId="389BBE03" w14:textId="77777777" w:rsidR="00383CEB" w:rsidRPr="00383CEB" w:rsidRDefault="00383CEB" w:rsidP="00383CEB">
            <w:pPr>
              <w:spacing w:after="0" w:line="240" w:lineRule="auto"/>
              <w:jc w:val="right"/>
              <w:rPr>
                <w:rFonts w:ascii="Calibri" w:eastAsia="Times New Roman" w:hAnsi="Calibri" w:cs="Calibri"/>
                <w:color w:val="000000"/>
                <w:lang w:eastAsia="en-NZ"/>
              </w:rPr>
            </w:pPr>
            <w:r w:rsidRPr="00383CEB">
              <w:rPr>
                <w:rFonts w:ascii="Calibri" w:eastAsia="Times New Roman" w:hAnsi="Calibri" w:cs="Calibri"/>
                <w:color w:val="000000"/>
                <w:lang w:eastAsia="en-NZ"/>
              </w:rPr>
              <w:t>50</w:t>
            </w:r>
          </w:p>
        </w:tc>
        <w:tc>
          <w:tcPr>
            <w:tcW w:w="1296" w:type="dxa"/>
            <w:tcBorders>
              <w:top w:val="nil"/>
              <w:left w:val="nil"/>
              <w:bottom w:val="nil"/>
              <w:right w:val="nil"/>
            </w:tcBorders>
            <w:shd w:val="clear" w:color="auto" w:fill="auto"/>
            <w:noWrap/>
            <w:vAlign w:val="bottom"/>
            <w:hideMark/>
          </w:tcPr>
          <w:p w14:paraId="49D54A16" w14:textId="77777777" w:rsidR="00383CEB" w:rsidRPr="00383CEB" w:rsidRDefault="00383CEB" w:rsidP="00383CEB">
            <w:pPr>
              <w:spacing w:after="0" w:line="240" w:lineRule="auto"/>
              <w:jc w:val="right"/>
              <w:rPr>
                <w:rFonts w:ascii="Calibri" w:eastAsia="Times New Roman" w:hAnsi="Calibri" w:cs="Calibri"/>
                <w:color w:val="FF0000"/>
                <w:lang w:eastAsia="en-NZ"/>
              </w:rPr>
            </w:pPr>
            <w:r w:rsidRPr="00383CEB">
              <w:rPr>
                <w:rFonts w:ascii="Calibri" w:eastAsia="Times New Roman" w:hAnsi="Calibri" w:cs="Calibri"/>
                <w:color w:val="FF0000"/>
                <w:lang w:eastAsia="en-NZ"/>
              </w:rPr>
              <w:t>-7</w:t>
            </w:r>
          </w:p>
        </w:tc>
        <w:tc>
          <w:tcPr>
            <w:tcW w:w="1256" w:type="dxa"/>
            <w:tcBorders>
              <w:top w:val="nil"/>
              <w:left w:val="nil"/>
              <w:bottom w:val="nil"/>
              <w:right w:val="nil"/>
            </w:tcBorders>
            <w:shd w:val="clear" w:color="auto" w:fill="auto"/>
            <w:noWrap/>
            <w:vAlign w:val="bottom"/>
            <w:hideMark/>
          </w:tcPr>
          <w:p w14:paraId="16881565" w14:textId="77777777" w:rsidR="00383CEB" w:rsidRPr="00383CEB" w:rsidRDefault="00383CEB" w:rsidP="00383CEB">
            <w:pPr>
              <w:spacing w:after="0" w:line="240" w:lineRule="auto"/>
              <w:jc w:val="right"/>
              <w:rPr>
                <w:rFonts w:ascii="Calibri" w:eastAsia="Times New Roman" w:hAnsi="Calibri" w:cs="Calibri"/>
                <w:color w:val="FF0000"/>
                <w:lang w:eastAsia="en-NZ"/>
              </w:rPr>
            </w:pPr>
            <w:r w:rsidRPr="00383CEB">
              <w:rPr>
                <w:rFonts w:ascii="Calibri" w:eastAsia="Times New Roman" w:hAnsi="Calibri" w:cs="Calibri"/>
                <w:color w:val="FF0000"/>
                <w:lang w:eastAsia="en-NZ"/>
              </w:rPr>
              <w:t>-7</w:t>
            </w:r>
          </w:p>
        </w:tc>
      </w:tr>
      <w:tr w:rsidR="00383CEB" w:rsidRPr="00383CEB" w14:paraId="4DC6AB14" w14:textId="77777777" w:rsidTr="00383CEB">
        <w:trPr>
          <w:trHeight w:val="290"/>
        </w:trPr>
        <w:tc>
          <w:tcPr>
            <w:tcW w:w="1636" w:type="dxa"/>
            <w:tcBorders>
              <w:top w:val="nil"/>
              <w:left w:val="nil"/>
              <w:bottom w:val="nil"/>
              <w:right w:val="nil"/>
            </w:tcBorders>
            <w:shd w:val="clear" w:color="auto" w:fill="auto"/>
            <w:noWrap/>
            <w:vAlign w:val="bottom"/>
            <w:hideMark/>
          </w:tcPr>
          <w:p w14:paraId="6D1ED252" w14:textId="77777777" w:rsidR="00383CEB" w:rsidRPr="00383CEB" w:rsidRDefault="00383CEB" w:rsidP="00383CEB">
            <w:pPr>
              <w:spacing w:after="0" w:line="240" w:lineRule="auto"/>
              <w:rPr>
                <w:rFonts w:ascii="Calibri" w:eastAsia="Times New Roman" w:hAnsi="Calibri" w:cs="Calibri"/>
                <w:color w:val="000000"/>
                <w:lang w:eastAsia="en-NZ"/>
              </w:rPr>
            </w:pPr>
            <w:r w:rsidRPr="00383CEB">
              <w:rPr>
                <w:rFonts w:ascii="Calibri" w:eastAsia="Times New Roman" w:hAnsi="Calibri" w:cs="Calibri"/>
                <w:color w:val="000000"/>
                <w:lang w:eastAsia="en-NZ"/>
              </w:rPr>
              <w:t>Croatia</w:t>
            </w:r>
          </w:p>
        </w:tc>
        <w:tc>
          <w:tcPr>
            <w:tcW w:w="976" w:type="dxa"/>
            <w:tcBorders>
              <w:top w:val="nil"/>
              <w:left w:val="nil"/>
              <w:bottom w:val="nil"/>
              <w:right w:val="nil"/>
            </w:tcBorders>
            <w:shd w:val="clear" w:color="auto" w:fill="auto"/>
            <w:noWrap/>
            <w:vAlign w:val="bottom"/>
            <w:hideMark/>
          </w:tcPr>
          <w:p w14:paraId="52777F9C" w14:textId="77777777" w:rsidR="00383CEB" w:rsidRPr="00383CEB" w:rsidRDefault="00383CEB" w:rsidP="00383CEB">
            <w:pPr>
              <w:spacing w:after="0" w:line="240" w:lineRule="auto"/>
              <w:jc w:val="right"/>
              <w:rPr>
                <w:rFonts w:ascii="Calibri" w:eastAsia="Times New Roman" w:hAnsi="Calibri" w:cs="Calibri"/>
                <w:color w:val="000000"/>
                <w:lang w:eastAsia="en-NZ"/>
              </w:rPr>
            </w:pPr>
            <w:r w:rsidRPr="00383CEB">
              <w:rPr>
                <w:rFonts w:ascii="Calibri" w:eastAsia="Times New Roman" w:hAnsi="Calibri" w:cs="Calibri"/>
                <w:color w:val="000000"/>
                <w:lang w:eastAsia="en-NZ"/>
              </w:rPr>
              <w:t>42</w:t>
            </w:r>
          </w:p>
        </w:tc>
        <w:tc>
          <w:tcPr>
            <w:tcW w:w="976" w:type="dxa"/>
            <w:tcBorders>
              <w:top w:val="nil"/>
              <w:left w:val="nil"/>
              <w:bottom w:val="nil"/>
              <w:right w:val="nil"/>
            </w:tcBorders>
            <w:shd w:val="clear" w:color="auto" w:fill="auto"/>
            <w:noWrap/>
            <w:vAlign w:val="bottom"/>
            <w:hideMark/>
          </w:tcPr>
          <w:p w14:paraId="4D676C32" w14:textId="77777777" w:rsidR="00383CEB" w:rsidRPr="00383CEB" w:rsidRDefault="00383CEB" w:rsidP="00383CEB">
            <w:pPr>
              <w:spacing w:after="0" w:line="240" w:lineRule="auto"/>
              <w:jc w:val="right"/>
              <w:rPr>
                <w:rFonts w:ascii="Calibri" w:eastAsia="Times New Roman" w:hAnsi="Calibri" w:cs="Calibri"/>
                <w:color w:val="000000"/>
                <w:lang w:eastAsia="en-NZ"/>
              </w:rPr>
            </w:pPr>
            <w:r w:rsidRPr="00383CEB">
              <w:rPr>
                <w:rFonts w:ascii="Calibri" w:eastAsia="Times New Roman" w:hAnsi="Calibri" w:cs="Calibri"/>
                <w:color w:val="000000"/>
                <w:lang w:eastAsia="en-NZ"/>
              </w:rPr>
              <w:t>59</w:t>
            </w:r>
          </w:p>
        </w:tc>
        <w:tc>
          <w:tcPr>
            <w:tcW w:w="976" w:type="dxa"/>
            <w:tcBorders>
              <w:top w:val="nil"/>
              <w:left w:val="nil"/>
              <w:bottom w:val="nil"/>
              <w:right w:val="nil"/>
            </w:tcBorders>
            <w:shd w:val="clear" w:color="auto" w:fill="auto"/>
            <w:noWrap/>
            <w:vAlign w:val="bottom"/>
            <w:hideMark/>
          </w:tcPr>
          <w:p w14:paraId="13AEA2EB" w14:textId="77777777" w:rsidR="00383CEB" w:rsidRPr="00383CEB" w:rsidRDefault="00383CEB" w:rsidP="00383CEB">
            <w:pPr>
              <w:spacing w:after="0" w:line="240" w:lineRule="auto"/>
              <w:jc w:val="right"/>
              <w:rPr>
                <w:rFonts w:ascii="Calibri" w:eastAsia="Times New Roman" w:hAnsi="Calibri" w:cs="Calibri"/>
                <w:color w:val="000000"/>
                <w:lang w:eastAsia="en-NZ"/>
              </w:rPr>
            </w:pPr>
            <w:r w:rsidRPr="00383CEB">
              <w:rPr>
                <w:rFonts w:ascii="Calibri" w:eastAsia="Times New Roman" w:hAnsi="Calibri" w:cs="Calibri"/>
                <w:color w:val="000000"/>
                <w:lang w:eastAsia="en-NZ"/>
              </w:rPr>
              <w:t>57</w:t>
            </w:r>
          </w:p>
        </w:tc>
        <w:tc>
          <w:tcPr>
            <w:tcW w:w="976" w:type="dxa"/>
            <w:tcBorders>
              <w:top w:val="nil"/>
              <w:left w:val="nil"/>
              <w:bottom w:val="nil"/>
              <w:right w:val="nil"/>
            </w:tcBorders>
            <w:shd w:val="clear" w:color="auto" w:fill="auto"/>
            <w:noWrap/>
            <w:vAlign w:val="bottom"/>
            <w:hideMark/>
          </w:tcPr>
          <w:p w14:paraId="2DACC24D" w14:textId="77777777" w:rsidR="00383CEB" w:rsidRPr="00383CEB" w:rsidRDefault="00383CEB" w:rsidP="00383CEB">
            <w:pPr>
              <w:spacing w:after="0" w:line="240" w:lineRule="auto"/>
              <w:jc w:val="right"/>
              <w:rPr>
                <w:rFonts w:ascii="Calibri" w:eastAsia="Times New Roman" w:hAnsi="Calibri" w:cs="Calibri"/>
                <w:color w:val="000000"/>
                <w:lang w:eastAsia="en-NZ"/>
              </w:rPr>
            </w:pPr>
            <w:r w:rsidRPr="00383CEB">
              <w:rPr>
                <w:rFonts w:ascii="Calibri" w:eastAsia="Times New Roman" w:hAnsi="Calibri" w:cs="Calibri"/>
                <w:color w:val="000000"/>
                <w:lang w:eastAsia="en-NZ"/>
              </w:rPr>
              <w:t>61</w:t>
            </w:r>
          </w:p>
        </w:tc>
        <w:tc>
          <w:tcPr>
            <w:tcW w:w="976" w:type="dxa"/>
            <w:tcBorders>
              <w:top w:val="nil"/>
              <w:left w:val="nil"/>
              <w:bottom w:val="nil"/>
              <w:right w:val="nil"/>
            </w:tcBorders>
            <w:shd w:val="clear" w:color="auto" w:fill="auto"/>
            <w:noWrap/>
            <w:vAlign w:val="bottom"/>
            <w:hideMark/>
          </w:tcPr>
          <w:p w14:paraId="57A6CEE6" w14:textId="77777777" w:rsidR="00383CEB" w:rsidRPr="00383CEB" w:rsidRDefault="00383CEB" w:rsidP="00383CEB">
            <w:pPr>
              <w:spacing w:after="0" w:line="240" w:lineRule="auto"/>
              <w:jc w:val="right"/>
              <w:rPr>
                <w:rFonts w:ascii="Calibri" w:eastAsia="Times New Roman" w:hAnsi="Calibri" w:cs="Calibri"/>
                <w:color w:val="000000"/>
                <w:lang w:eastAsia="en-NZ"/>
              </w:rPr>
            </w:pPr>
            <w:r w:rsidRPr="00383CEB">
              <w:rPr>
                <w:rFonts w:ascii="Calibri" w:eastAsia="Times New Roman" w:hAnsi="Calibri" w:cs="Calibri"/>
                <w:color w:val="000000"/>
                <w:lang w:eastAsia="en-NZ"/>
              </w:rPr>
              <w:t>53</w:t>
            </w:r>
          </w:p>
        </w:tc>
        <w:tc>
          <w:tcPr>
            <w:tcW w:w="976" w:type="dxa"/>
            <w:tcBorders>
              <w:top w:val="nil"/>
              <w:left w:val="nil"/>
              <w:bottom w:val="nil"/>
              <w:right w:val="nil"/>
            </w:tcBorders>
            <w:shd w:val="clear" w:color="auto" w:fill="auto"/>
            <w:noWrap/>
            <w:vAlign w:val="bottom"/>
            <w:hideMark/>
          </w:tcPr>
          <w:p w14:paraId="355C3FF9" w14:textId="77777777" w:rsidR="00383CEB" w:rsidRPr="00383CEB" w:rsidRDefault="00383CEB" w:rsidP="00383CEB">
            <w:pPr>
              <w:spacing w:after="0" w:line="240" w:lineRule="auto"/>
              <w:jc w:val="right"/>
              <w:rPr>
                <w:rFonts w:ascii="Calibri" w:eastAsia="Times New Roman" w:hAnsi="Calibri" w:cs="Calibri"/>
                <w:color w:val="000000"/>
                <w:lang w:eastAsia="en-NZ"/>
              </w:rPr>
            </w:pPr>
            <w:r w:rsidRPr="00383CEB">
              <w:rPr>
                <w:rFonts w:ascii="Calibri" w:eastAsia="Times New Roman" w:hAnsi="Calibri" w:cs="Calibri"/>
                <w:color w:val="000000"/>
                <w:lang w:eastAsia="en-NZ"/>
              </w:rPr>
              <w:t>57</w:t>
            </w:r>
          </w:p>
        </w:tc>
        <w:tc>
          <w:tcPr>
            <w:tcW w:w="1296" w:type="dxa"/>
            <w:tcBorders>
              <w:top w:val="nil"/>
              <w:left w:val="nil"/>
              <w:bottom w:val="nil"/>
              <w:right w:val="nil"/>
            </w:tcBorders>
            <w:shd w:val="clear" w:color="auto" w:fill="auto"/>
            <w:noWrap/>
            <w:vAlign w:val="bottom"/>
            <w:hideMark/>
          </w:tcPr>
          <w:p w14:paraId="2F0EF4F2" w14:textId="77777777" w:rsidR="00383CEB" w:rsidRPr="00383CEB" w:rsidRDefault="00383CEB" w:rsidP="00383CEB">
            <w:pPr>
              <w:spacing w:after="0" w:line="240" w:lineRule="auto"/>
              <w:jc w:val="right"/>
              <w:rPr>
                <w:rFonts w:ascii="Calibri" w:eastAsia="Times New Roman" w:hAnsi="Calibri" w:cs="Calibri"/>
                <w:color w:val="00B050"/>
                <w:lang w:eastAsia="en-NZ"/>
              </w:rPr>
            </w:pPr>
            <w:r w:rsidRPr="00383CEB">
              <w:rPr>
                <w:rFonts w:ascii="Calibri" w:eastAsia="Times New Roman" w:hAnsi="Calibri" w:cs="Calibri"/>
                <w:color w:val="00B050"/>
                <w:lang w:eastAsia="en-NZ"/>
              </w:rPr>
              <w:t>15</w:t>
            </w:r>
          </w:p>
        </w:tc>
        <w:tc>
          <w:tcPr>
            <w:tcW w:w="1256" w:type="dxa"/>
            <w:tcBorders>
              <w:top w:val="nil"/>
              <w:left w:val="nil"/>
              <w:bottom w:val="nil"/>
              <w:right w:val="nil"/>
            </w:tcBorders>
            <w:shd w:val="clear" w:color="auto" w:fill="auto"/>
            <w:noWrap/>
            <w:vAlign w:val="bottom"/>
            <w:hideMark/>
          </w:tcPr>
          <w:p w14:paraId="6BD7B84F" w14:textId="77777777" w:rsidR="00383CEB" w:rsidRPr="00383CEB" w:rsidRDefault="00383CEB" w:rsidP="00383CEB">
            <w:pPr>
              <w:spacing w:after="0" w:line="240" w:lineRule="auto"/>
              <w:jc w:val="right"/>
              <w:rPr>
                <w:rFonts w:ascii="Calibri" w:eastAsia="Times New Roman" w:hAnsi="Calibri" w:cs="Calibri"/>
                <w:color w:val="00B050"/>
                <w:lang w:eastAsia="en-NZ"/>
              </w:rPr>
            </w:pPr>
            <w:r w:rsidRPr="00383CEB">
              <w:rPr>
                <w:rFonts w:ascii="Calibri" w:eastAsia="Times New Roman" w:hAnsi="Calibri" w:cs="Calibri"/>
                <w:color w:val="00B050"/>
                <w:lang w:eastAsia="en-NZ"/>
              </w:rPr>
              <w:t>4</w:t>
            </w:r>
          </w:p>
        </w:tc>
      </w:tr>
      <w:tr w:rsidR="00383CEB" w:rsidRPr="00383CEB" w14:paraId="06139146" w14:textId="77777777" w:rsidTr="00383CEB">
        <w:trPr>
          <w:trHeight w:val="290"/>
        </w:trPr>
        <w:tc>
          <w:tcPr>
            <w:tcW w:w="1636" w:type="dxa"/>
            <w:tcBorders>
              <w:top w:val="nil"/>
              <w:left w:val="nil"/>
              <w:bottom w:val="nil"/>
              <w:right w:val="nil"/>
            </w:tcBorders>
            <w:shd w:val="clear" w:color="auto" w:fill="auto"/>
            <w:noWrap/>
            <w:vAlign w:val="bottom"/>
            <w:hideMark/>
          </w:tcPr>
          <w:p w14:paraId="599E0C2F" w14:textId="77777777" w:rsidR="00383CEB" w:rsidRPr="00383CEB" w:rsidRDefault="00383CEB" w:rsidP="00383CEB">
            <w:pPr>
              <w:spacing w:after="0" w:line="240" w:lineRule="auto"/>
              <w:rPr>
                <w:rFonts w:ascii="Calibri" w:eastAsia="Times New Roman" w:hAnsi="Calibri" w:cs="Calibri"/>
                <w:color w:val="000000"/>
                <w:lang w:eastAsia="en-NZ"/>
              </w:rPr>
            </w:pPr>
            <w:r w:rsidRPr="00383CEB">
              <w:rPr>
                <w:rFonts w:ascii="Calibri" w:eastAsia="Times New Roman" w:hAnsi="Calibri" w:cs="Calibri"/>
                <w:color w:val="000000"/>
                <w:lang w:eastAsia="en-NZ"/>
              </w:rPr>
              <w:t>Dom. Republic</w:t>
            </w:r>
          </w:p>
        </w:tc>
        <w:tc>
          <w:tcPr>
            <w:tcW w:w="976" w:type="dxa"/>
            <w:tcBorders>
              <w:top w:val="nil"/>
              <w:left w:val="nil"/>
              <w:bottom w:val="nil"/>
              <w:right w:val="nil"/>
            </w:tcBorders>
            <w:shd w:val="clear" w:color="auto" w:fill="auto"/>
            <w:noWrap/>
            <w:vAlign w:val="bottom"/>
            <w:hideMark/>
          </w:tcPr>
          <w:p w14:paraId="1F4652D3" w14:textId="77777777" w:rsidR="00383CEB" w:rsidRPr="00383CEB" w:rsidRDefault="00383CEB" w:rsidP="00383CEB">
            <w:pPr>
              <w:spacing w:after="0" w:line="240" w:lineRule="auto"/>
              <w:rPr>
                <w:rFonts w:ascii="Calibri" w:eastAsia="Times New Roman" w:hAnsi="Calibri" w:cs="Calibri"/>
                <w:color w:val="000000"/>
                <w:lang w:eastAsia="en-NZ"/>
              </w:rPr>
            </w:pPr>
          </w:p>
        </w:tc>
        <w:tc>
          <w:tcPr>
            <w:tcW w:w="976" w:type="dxa"/>
            <w:tcBorders>
              <w:top w:val="nil"/>
              <w:left w:val="nil"/>
              <w:bottom w:val="nil"/>
              <w:right w:val="nil"/>
            </w:tcBorders>
            <w:shd w:val="clear" w:color="auto" w:fill="auto"/>
            <w:noWrap/>
            <w:vAlign w:val="bottom"/>
            <w:hideMark/>
          </w:tcPr>
          <w:p w14:paraId="67E423C5" w14:textId="77777777" w:rsidR="00383CEB" w:rsidRPr="00383CEB" w:rsidRDefault="00383CEB" w:rsidP="00383CEB">
            <w:pPr>
              <w:spacing w:after="0" w:line="240" w:lineRule="auto"/>
              <w:jc w:val="right"/>
              <w:rPr>
                <w:rFonts w:ascii="Calibri" w:eastAsia="Times New Roman" w:hAnsi="Calibri" w:cs="Calibri"/>
                <w:color w:val="000000"/>
                <w:lang w:eastAsia="en-NZ"/>
              </w:rPr>
            </w:pPr>
            <w:r w:rsidRPr="00383CEB">
              <w:rPr>
                <w:rFonts w:ascii="Calibri" w:eastAsia="Times New Roman" w:hAnsi="Calibri" w:cs="Calibri"/>
                <w:color w:val="000000"/>
                <w:lang w:eastAsia="en-NZ"/>
              </w:rPr>
              <w:t>12</w:t>
            </w:r>
          </w:p>
        </w:tc>
        <w:tc>
          <w:tcPr>
            <w:tcW w:w="976" w:type="dxa"/>
            <w:tcBorders>
              <w:top w:val="nil"/>
              <w:left w:val="nil"/>
              <w:bottom w:val="nil"/>
              <w:right w:val="nil"/>
            </w:tcBorders>
            <w:shd w:val="clear" w:color="auto" w:fill="auto"/>
            <w:noWrap/>
            <w:vAlign w:val="bottom"/>
            <w:hideMark/>
          </w:tcPr>
          <w:p w14:paraId="363D2278" w14:textId="77777777" w:rsidR="00383CEB" w:rsidRPr="00383CEB" w:rsidRDefault="00383CEB" w:rsidP="00383CEB">
            <w:pPr>
              <w:spacing w:after="0" w:line="240" w:lineRule="auto"/>
              <w:jc w:val="right"/>
              <w:rPr>
                <w:rFonts w:ascii="Calibri" w:eastAsia="Times New Roman" w:hAnsi="Calibri" w:cs="Calibri"/>
                <w:color w:val="000000"/>
                <w:lang w:eastAsia="en-NZ"/>
              </w:rPr>
            </w:pPr>
            <w:r w:rsidRPr="00383CEB">
              <w:rPr>
                <w:rFonts w:ascii="Calibri" w:eastAsia="Times New Roman" w:hAnsi="Calibri" w:cs="Calibri"/>
                <w:color w:val="000000"/>
                <w:lang w:eastAsia="en-NZ"/>
              </w:rPr>
              <w:t>14</w:t>
            </w:r>
          </w:p>
        </w:tc>
        <w:tc>
          <w:tcPr>
            <w:tcW w:w="976" w:type="dxa"/>
            <w:tcBorders>
              <w:top w:val="nil"/>
              <w:left w:val="nil"/>
              <w:bottom w:val="nil"/>
              <w:right w:val="nil"/>
            </w:tcBorders>
            <w:shd w:val="clear" w:color="auto" w:fill="auto"/>
            <w:noWrap/>
            <w:vAlign w:val="bottom"/>
            <w:hideMark/>
          </w:tcPr>
          <w:p w14:paraId="626030A1" w14:textId="77777777" w:rsidR="00383CEB" w:rsidRPr="00383CEB" w:rsidRDefault="00383CEB" w:rsidP="00383CEB">
            <w:pPr>
              <w:spacing w:after="0" w:line="240" w:lineRule="auto"/>
              <w:jc w:val="right"/>
              <w:rPr>
                <w:rFonts w:ascii="Calibri" w:eastAsia="Times New Roman" w:hAnsi="Calibri" w:cs="Calibri"/>
                <w:color w:val="000000"/>
                <w:lang w:eastAsia="en-NZ"/>
              </w:rPr>
            </w:pPr>
            <w:r w:rsidRPr="00383CEB">
              <w:rPr>
                <w:rFonts w:ascii="Calibri" w:eastAsia="Times New Roman" w:hAnsi="Calibri" w:cs="Calibri"/>
                <w:color w:val="000000"/>
                <w:lang w:eastAsia="en-NZ"/>
              </w:rPr>
              <w:t>29</w:t>
            </w:r>
          </w:p>
        </w:tc>
        <w:tc>
          <w:tcPr>
            <w:tcW w:w="976" w:type="dxa"/>
            <w:tcBorders>
              <w:top w:val="nil"/>
              <w:left w:val="nil"/>
              <w:bottom w:val="nil"/>
              <w:right w:val="nil"/>
            </w:tcBorders>
            <w:shd w:val="clear" w:color="auto" w:fill="auto"/>
            <w:noWrap/>
            <w:vAlign w:val="bottom"/>
            <w:hideMark/>
          </w:tcPr>
          <w:p w14:paraId="1F3684EE" w14:textId="77777777" w:rsidR="00383CEB" w:rsidRPr="00383CEB" w:rsidRDefault="00383CEB" w:rsidP="00383CEB">
            <w:pPr>
              <w:spacing w:after="0" w:line="240" w:lineRule="auto"/>
              <w:jc w:val="right"/>
              <w:rPr>
                <w:rFonts w:ascii="Calibri" w:eastAsia="Times New Roman" w:hAnsi="Calibri" w:cs="Calibri"/>
                <w:color w:val="000000"/>
                <w:lang w:eastAsia="en-NZ"/>
              </w:rPr>
            </w:pPr>
            <w:r w:rsidRPr="00383CEB">
              <w:rPr>
                <w:rFonts w:ascii="Calibri" w:eastAsia="Times New Roman" w:hAnsi="Calibri" w:cs="Calibri"/>
                <w:color w:val="000000"/>
                <w:lang w:eastAsia="en-NZ"/>
              </w:rPr>
              <w:t>51</w:t>
            </w:r>
          </w:p>
        </w:tc>
        <w:tc>
          <w:tcPr>
            <w:tcW w:w="976" w:type="dxa"/>
            <w:tcBorders>
              <w:top w:val="nil"/>
              <w:left w:val="nil"/>
              <w:bottom w:val="nil"/>
              <w:right w:val="nil"/>
            </w:tcBorders>
            <w:shd w:val="clear" w:color="auto" w:fill="auto"/>
            <w:noWrap/>
            <w:vAlign w:val="bottom"/>
            <w:hideMark/>
          </w:tcPr>
          <w:p w14:paraId="09965C48" w14:textId="77777777" w:rsidR="00383CEB" w:rsidRPr="00383CEB" w:rsidRDefault="00383CEB" w:rsidP="00383CEB">
            <w:pPr>
              <w:spacing w:after="0" w:line="240" w:lineRule="auto"/>
              <w:jc w:val="right"/>
              <w:rPr>
                <w:rFonts w:ascii="Calibri" w:eastAsia="Times New Roman" w:hAnsi="Calibri" w:cs="Calibri"/>
                <w:color w:val="000000"/>
                <w:lang w:eastAsia="en-NZ"/>
              </w:rPr>
            </w:pPr>
            <w:r w:rsidRPr="00383CEB">
              <w:rPr>
                <w:rFonts w:ascii="Calibri" w:eastAsia="Times New Roman" w:hAnsi="Calibri" w:cs="Calibri"/>
                <w:color w:val="000000"/>
                <w:lang w:eastAsia="en-NZ"/>
              </w:rPr>
              <w:t>66</w:t>
            </w:r>
          </w:p>
        </w:tc>
        <w:tc>
          <w:tcPr>
            <w:tcW w:w="1296" w:type="dxa"/>
            <w:tcBorders>
              <w:top w:val="nil"/>
              <w:left w:val="nil"/>
              <w:bottom w:val="nil"/>
              <w:right w:val="nil"/>
            </w:tcBorders>
            <w:shd w:val="clear" w:color="auto" w:fill="auto"/>
            <w:noWrap/>
            <w:vAlign w:val="bottom"/>
            <w:hideMark/>
          </w:tcPr>
          <w:p w14:paraId="685EE403" w14:textId="77777777" w:rsidR="00383CEB" w:rsidRPr="00383CEB" w:rsidRDefault="00383CEB" w:rsidP="00383CEB">
            <w:pPr>
              <w:spacing w:after="0" w:line="240" w:lineRule="auto"/>
              <w:jc w:val="right"/>
              <w:rPr>
                <w:rFonts w:ascii="Calibri" w:eastAsia="Times New Roman" w:hAnsi="Calibri" w:cs="Calibri"/>
                <w:color w:val="00B050"/>
                <w:lang w:eastAsia="en-NZ"/>
              </w:rPr>
            </w:pPr>
            <w:bookmarkStart w:id="7" w:name="_GoBack"/>
            <w:bookmarkEnd w:id="7"/>
            <w:r w:rsidRPr="00383CEB">
              <w:rPr>
                <w:rFonts w:ascii="Calibri" w:eastAsia="Times New Roman" w:hAnsi="Calibri" w:cs="Calibri"/>
                <w:color w:val="00B050"/>
                <w:lang w:eastAsia="en-NZ"/>
              </w:rPr>
              <w:t>54</w:t>
            </w:r>
          </w:p>
        </w:tc>
        <w:tc>
          <w:tcPr>
            <w:tcW w:w="1256" w:type="dxa"/>
            <w:tcBorders>
              <w:top w:val="nil"/>
              <w:left w:val="nil"/>
              <w:bottom w:val="nil"/>
              <w:right w:val="nil"/>
            </w:tcBorders>
            <w:shd w:val="clear" w:color="auto" w:fill="auto"/>
            <w:noWrap/>
            <w:vAlign w:val="bottom"/>
            <w:hideMark/>
          </w:tcPr>
          <w:p w14:paraId="1B5E273A" w14:textId="77777777" w:rsidR="00383CEB" w:rsidRPr="00383CEB" w:rsidRDefault="00383CEB" w:rsidP="00383CEB">
            <w:pPr>
              <w:spacing w:after="0" w:line="240" w:lineRule="auto"/>
              <w:jc w:val="right"/>
              <w:rPr>
                <w:rFonts w:ascii="Calibri" w:eastAsia="Times New Roman" w:hAnsi="Calibri" w:cs="Calibri"/>
                <w:color w:val="00B050"/>
                <w:lang w:eastAsia="en-NZ"/>
              </w:rPr>
            </w:pPr>
            <w:r w:rsidRPr="00383CEB">
              <w:rPr>
                <w:rFonts w:ascii="Calibri" w:eastAsia="Times New Roman" w:hAnsi="Calibri" w:cs="Calibri"/>
                <w:color w:val="00B050"/>
                <w:lang w:eastAsia="en-NZ"/>
              </w:rPr>
              <w:t>15</w:t>
            </w:r>
          </w:p>
        </w:tc>
      </w:tr>
      <w:tr w:rsidR="00383CEB" w:rsidRPr="00383CEB" w14:paraId="40A80E66" w14:textId="77777777" w:rsidTr="00383CEB">
        <w:trPr>
          <w:trHeight w:val="290"/>
        </w:trPr>
        <w:tc>
          <w:tcPr>
            <w:tcW w:w="1636" w:type="dxa"/>
            <w:tcBorders>
              <w:top w:val="nil"/>
              <w:left w:val="nil"/>
              <w:bottom w:val="nil"/>
              <w:right w:val="nil"/>
            </w:tcBorders>
            <w:shd w:val="clear" w:color="auto" w:fill="auto"/>
            <w:noWrap/>
            <w:vAlign w:val="bottom"/>
            <w:hideMark/>
          </w:tcPr>
          <w:p w14:paraId="37B8DC8F" w14:textId="77777777" w:rsidR="00383CEB" w:rsidRPr="00383CEB" w:rsidRDefault="00383CEB" w:rsidP="00383CEB">
            <w:pPr>
              <w:spacing w:after="0" w:line="240" w:lineRule="auto"/>
              <w:rPr>
                <w:rFonts w:ascii="Calibri" w:eastAsia="Times New Roman" w:hAnsi="Calibri" w:cs="Calibri"/>
                <w:color w:val="000000"/>
                <w:lang w:eastAsia="en-NZ"/>
              </w:rPr>
            </w:pPr>
            <w:r w:rsidRPr="00383CEB">
              <w:rPr>
                <w:rFonts w:ascii="Calibri" w:eastAsia="Times New Roman" w:hAnsi="Calibri" w:cs="Calibri"/>
                <w:color w:val="000000"/>
                <w:lang w:eastAsia="en-NZ"/>
              </w:rPr>
              <w:t>Egypt</w:t>
            </w:r>
          </w:p>
        </w:tc>
        <w:tc>
          <w:tcPr>
            <w:tcW w:w="976" w:type="dxa"/>
            <w:tcBorders>
              <w:top w:val="nil"/>
              <w:left w:val="nil"/>
              <w:bottom w:val="nil"/>
              <w:right w:val="nil"/>
            </w:tcBorders>
            <w:shd w:val="clear" w:color="auto" w:fill="auto"/>
            <w:noWrap/>
            <w:vAlign w:val="bottom"/>
            <w:hideMark/>
          </w:tcPr>
          <w:p w14:paraId="49F22148" w14:textId="77777777" w:rsidR="00383CEB" w:rsidRPr="00383CEB" w:rsidRDefault="00383CEB" w:rsidP="00383CEB">
            <w:pPr>
              <w:spacing w:after="0" w:line="240" w:lineRule="auto"/>
              <w:jc w:val="right"/>
              <w:rPr>
                <w:rFonts w:ascii="Calibri" w:eastAsia="Times New Roman" w:hAnsi="Calibri" w:cs="Calibri"/>
                <w:color w:val="000000"/>
                <w:lang w:eastAsia="en-NZ"/>
              </w:rPr>
            </w:pPr>
            <w:r w:rsidRPr="00383CEB">
              <w:rPr>
                <w:rFonts w:ascii="Calibri" w:eastAsia="Times New Roman" w:hAnsi="Calibri" w:cs="Calibri"/>
                <w:color w:val="000000"/>
                <w:lang w:eastAsia="en-NZ"/>
              </w:rPr>
              <w:t>19</w:t>
            </w:r>
          </w:p>
        </w:tc>
        <w:tc>
          <w:tcPr>
            <w:tcW w:w="976" w:type="dxa"/>
            <w:tcBorders>
              <w:top w:val="nil"/>
              <w:left w:val="nil"/>
              <w:bottom w:val="nil"/>
              <w:right w:val="nil"/>
            </w:tcBorders>
            <w:shd w:val="clear" w:color="auto" w:fill="auto"/>
            <w:noWrap/>
            <w:vAlign w:val="bottom"/>
            <w:hideMark/>
          </w:tcPr>
          <w:p w14:paraId="68F39DFF" w14:textId="77777777" w:rsidR="00383CEB" w:rsidRPr="00383CEB" w:rsidRDefault="00383CEB" w:rsidP="00383CEB">
            <w:pPr>
              <w:spacing w:after="0" w:line="240" w:lineRule="auto"/>
              <w:jc w:val="right"/>
              <w:rPr>
                <w:rFonts w:ascii="Calibri" w:eastAsia="Times New Roman" w:hAnsi="Calibri" w:cs="Calibri"/>
                <w:color w:val="000000"/>
                <w:lang w:eastAsia="en-NZ"/>
              </w:rPr>
            </w:pPr>
            <w:r w:rsidRPr="00383CEB">
              <w:rPr>
                <w:rFonts w:ascii="Calibri" w:eastAsia="Times New Roman" w:hAnsi="Calibri" w:cs="Calibri"/>
                <w:color w:val="000000"/>
                <w:lang w:eastAsia="en-NZ"/>
              </w:rPr>
              <w:t>43</w:t>
            </w:r>
          </w:p>
        </w:tc>
        <w:tc>
          <w:tcPr>
            <w:tcW w:w="976" w:type="dxa"/>
            <w:tcBorders>
              <w:top w:val="nil"/>
              <w:left w:val="nil"/>
              <w:bottom w:val="nil"/>
              <w:right w:val="nil"/>
            </w:tcBorders>
            <w:shd w:val="clear" w:color="auto" w:fill="auto"/>
            <w:noWrap/>
            <w:vAlign w:val="bottom"/>
            <w:hideMark/>
          </w:tcPr>
          <w:p w14:paraId="65012D7B" w14:textId="77777777" w:rsidR="00383CEB" w:rsidRPr="00383CEB" w:rsidRDefault="00383CEB" w:rsidP="00383CEB">
            <w:pPr>
              <w:spacing w:after="0" w:line="240" w:lineRule="auto"/>
              <w:jc w:val="right"/>
              <w:rPr>
                <w:rFonts w:ascii="Calibri" w:eastAsia="Times New Roman" w:hAnsi="Calibri" w:cs="Calibri"/>
                <w:color w:val="000000"/>
                <w:lang w:eastAsia="en-NZ"/>
              </w:rPr>
            </w:pPr>
            <w:r w:rsidRPr="00383CEB">
              <w:rPr>
                <w:rFonts w:ascii="Calibri" w:eastAsia="Times New Roman" w:hAnsi="Calibri" w:cs="Calibri"/>
                <w:color w:val="000000"/>
                <w:lang w:eastAsia="en-NZ"/>
              </w:rPr>
              <w:t>49</w:t>
            </w:r>
          </w:p>
        </w:tc>
        <w:tc>
          <w:tcPr>
            <w:tcW w:w="976" w:type="dxa"/>
            <w:tcBorders>
              <w:top w:val="nil"/>
              <w:left w:val="nil"/>
              <w:bottom w:val="nil"/>
              <w:right w:val="nil"/>
            </w:tcBorders>
            <w:shd w:val="clear" w:color="auto" w:fill="auto"/>
            <w:noWrap/>
            <w:vAlign w:val="bottom"/>
            <w:hideMark/>
          </w:tcPr>
          <w:p w14:paraId="793AAC75" w14:textId="77777777" w:rsidR="00383CEB" w:rsidRPr="00383CEB" w:rsidRDefault="00383CEB" w:rsidP="00383CEB">
            <w:pPr>
              <w:spacing w:after="0" w:line="240" w:lineRule="auto"/>
              <w:jc w:val="right"/>
              <w:rPr>
                <w:rFonts w:ascii="Calibri" w:eastAsia="Times New Roman" w:hAnsi="Calibri" w:cs="Calibri"/>
                <w:color w:val="000000"/>
                <w:lang w:eastAsia="en-NZ"/>
              </w:rPr>
            </w:pPr>
            <w:r w:rsidRPr="00383CEB">
              <w:rPr>
                <w:rFonts w:ascii="Calibri" w:eastAsia="Times New Roman" w:hAnsi="Calibri" w:cs="Calibri"/>
                <w:color w:val="000000"/>
                <w:lang w:eastAsia="en-NZ"/>
              </w:rPr>
              <w:t>13</w:t>
            </w:r>
          </w:p>
        </w:tc>
        <w:tc>
          <w:tcPr>
            <w:tcW w:w="976" w:type="dxa"/>
            <w:tcBorders>
              <w:top w:val="nil"/>
              <w:left w:val="nil"/>
              <w:bottom w:val="nil"/>
              <w:right w:val="nil"/>
            </w:tcBorders>
            <w:shd w:val="clear" w:color="auto" w:fill="auto"/>
            <w:noWrap/>
            <w:vAlign w:val="bottom"/>
            <w:hideMark/>
          </w:tcPr>
          <w:p w14:paraId="5AF71078" w14:textId="77777777" w:rsidR="00383CEB" w:rsidRPr="00383CEB" w:rsidRDefault="00383CEB" w:rsidP="00383CEB">
            <w:pPr>
              <w:spacing w:after="0" w:line="240" w:lineRule="auto"/>
              <w:jc w:val="right"/>
              <w:rPr>
                <w:rFonts w:ascii="Calibri" w:eastAsia="Times New Roman" w:hAnsi="Calibri" w:cs="Calibri"/>
                <w:color w:val="000000"/>
                <w:lang w:eastAsia="en-NZ"/>
              </w:rPr>
            </w:pPr>
            <w:r w:rsidRPr="00383CEB">
              <w:rPr>
                <w:rFonts w:ascii="Calibri" w:eastAsia="Times New Roman" w:hAnsi="Calibri" w:cs="Calibri"/>
                <w:color w:val="000000"/>
                <w:lang w:eastAsia="en-NZ"/>
              </w:rPr>
              <w:t>16</w:t>
            </w:r>
          </w:p>
        </w:tc>
        <w:tc>
          <w:tcPr>
            <w:tcW w:w="976" w:type="dxa"/>
            <w:tcBorders>
              <w:top w:val="nil"/>
              <w:left w:val="nil"/>
              <w:bottom w:val="nil"/>
              <w:right w:val="nil"/>
            </w:tcBorders>
            <w:shd w:val="clear" w:color="auto" w:fill="auto"/>
            <w:noWrap/>
            <w:vAlign w:val="bottom"/>
            <w:hideMark/>
          </w:tcPr>
          <w:p w14:paraId="533FB11F" w14:textId="77777777" w:rsidR="00383CEB" w:rsidRPr="00383CEB" w:rsidRDefault="00383CEB" w:rsidP="00383CEB">
            <w:pPr>
              <w:spacing w:after="0" w:line="240" w:lineRule="auto"/>
              <w:jc w:val="right"/>
              <w:rPr>
                <w:rFonts w:ascii="Calibri" w:eastAsia="Times New Roman" w:hAnsi="Calibri" w:cs="Calibri"/>
                <w:color w:val="000000"/>
                <w:lang w:eastAsia="en-NZ"/>
              </w:rPr>
            </w:pPr>
            <w:r w:rsidRPr="00383CEB">
              <w:rPr>
                <w:rFonts w:ascii="Calibri" w:eastAsia="Times New Roman" w:hAnsi="Calibri" w:cs="Calibri"/>
                <w:color w:val="000000"/>
                <w:lang w:eastAsia="en-NZ"/>
              </w:rPr>
              <w:t>41</w:t>
            </w:r>
          </w:p>
        </w:tc>
        <w:tc>
          <w:tcPr>
            <w:tcW w:w="1296" w:type="dxa"/>
            <w:tcBorders>
              <w:top w:val="nil"/>
              <w:left w:val="nil"/>
              <w:bottom w:val="nil"/>
              <w:right w:val="nil"/>
            </w:tcBorders>
            <w:shd w:val="clear" w:color="auto" w:fill="auto"/>
            <w:noWrap/>
            <w:vAlign w:val="bottom"/>
            <w:hideMark/>
          </w:tcPr>
          <w:p w14:paraId="4D7AD0D2" w14:textId="77777777" w:rsidR="00383CEB" w:rsidRPr="00383CEB" w:rsidRDefault="00383CEB" w:rsidP="00383CEB">
            <w:pPr>
              <w:spacing w:after="0" w:line="240" w:lineRule="auto"/>
              <w:jc w:val="right"/>
              <w:rPr>
                <w:rFonts w:ascii="Calibri" w:eastAsia="Times New Roman" w:hAnsi="Calibri" w:cs="Calibri"/>
                <w:color w:val="00B050"/>
                <w:lang w:eastAsia="en-NZ"/>
              </w:rPr>
            </w:pPr>
            <w:r w:rsidRPr="00383CEB">
              <w:rPr>
                <w:rFonts w:ascii="Calibri" w:eastAsia="Times New Roman" w:hAnsi="Calibri" w:cs="Calibri"/>
                <w:color w:val="00B050"/>
                <w:lang w:eastAsia="en-NZ"/>
              </w:rPr>
              <w:t>22</w:t>
            </w:r>
          </w:p>
        </w:tc>
        <w:tc>
          <w:tcPr>
            <w:tcW w:w="1256" w:type="dxa"/>
            <w:tcBorders>
              <w:top w:val="nil"/>
              <w:left w:val="nil"/>
              <w:bottom w:val="nil"/>
              <w:right w:val="nil"/>
            </w:tcBorders>
            <w:shd w:val="clear" w:color="auto" w:fill="auto"/>
            <w:noWrap/>
            <w:vAlign w:val="bottom"/>
            <w:hideMark/>
          </w:tcPr>
          <w:p w14:paraId="7BA9EAF7" w14:textId="77777777" w:rsidR="00383CEB" w:rsidRPr="00383CEB" w:rsidRDefault="00383CEB" w:rsidP="00383CEB">
            <w:pPr>
              <w:spacing w:after="0" w:line="240" w:lineRule="auto"/>
              <w:jc w:val="right"/>
              <w:rPr>
                <w:rFonts w:ascii="Calibri" w:eastAsia="Times New Roman" w:hAnsi="Calibri" w:cs="Calibri"/>
                <w:color w:val="00B050"/>
                <w:lang w:eastAsia="en-NZ"/>
              </w:rPr>
            </w:pPr>
            <w:r w:rsidRPr="00383CEB">
              <w:rPr>
                <w:rFonts w:ascii="Calibri" w:eastAsia="Times New Roman" w:hAnsi="Calibri" w:cs="Calibri"/>
                <w:color w:val="00B050"/>
                <w:lang w:eastAsia="en-NZ"/>
              </w:rPr>
              <w:t>25</w:t>
            </w:r>
          </w:p>
        </w:tc>
      </w:tr>
      <w:tr w:rsidR="00383CEB" w:rsidRPr="00383CEB" w14:paraId="4F3CE39E" w14:textId="77777777" w:rsidTr="00383CEB">
        <w:trPr>
          <w:trHeight w:val="290"/>
        </w:trPr>
        <w:tc>
          <w:tcPr>
            <w:tcW w:w="1636" w:type="dxa"/>
            <w:tcBorders>
              <w:top w:val="nil"/>
              <w:left w:val="nil"/>
              <w:bottom w:val="nil"/>
              <w:right w:val="nil"/>
            </w:tcBorders>
            <w:shd w:val="clear" w:color="auto" w:fill="auto"/>
            <w:noWrap/>
            <w:vAlign w:val="bottom"/>
            <w:hideMark/>
          </w:tcPr>
          <w:p w14:paraId="0A3D44E3" w14:textId="77777777" w:rsidR="00383CEB" w:rsidRPr="00383CEB" w:rsidRDefault="00383CEB" w:rsidP="00383CEB">
            <w:pPr>
              <w:spacing w:after="0" w:line="240" w:lineRule="auto"/>
              <w:rPr>
                <w:rFonts w:ascii="Calibri" w:eastAsia="Times New Roman" w:hAnsi="Calibri" w:cs="Calibri"/>
                <w:color w:val="000000"/>
                <w:lang w:eastAsia="en-NZ"/>
              </w:rPr>
            </w:pPr>
            <w:r w:rsidRPr="00383CEB">
              <w:rPr>
                <w:rFonts w:ascii="Calibri" w:eastAsia="Times New Roman" w:hAnsi="Calibri" w:cs="Calibri"/>
                <w:color w:val="000000"/>
                <w:lang w:eastAsia="en-NZ"/>
              </w:rPr>
              <w:t>El Salvador</w:t>
            </w:r>
          </w:p>
        </w:tc>
        <w:tc>
          <w:tcPr>
            <w:tcW w:w="976" w:type="dxa"/>
            <w:tcBorders>
              <w:top w:val="nil"/>
              <w:left w:val="nil"/>
              <w:bottom w:val="nil"/>
              <w:right w:val="nil"/>
            </w:tcBorders>
            <w:shd w:val="clear" w:color="auto" w:fill="auto"/>
            <w:noWrap/>
            <w:vAlign w:val="bottom"/>
            <w:hideMark/>
          </w:tcPr>
          <w:p w14:paraId="6B88662B" w14:textId="77777777" w:rsidR="00383CEB" w:rsidRPr="00383CEB" w:rsidRDefault="00383CEB" w:rsidP="00383CEB">
            <w:pPr>
              <w:spacing w:after="0" w:line="240" w:lineRule="auto"/>
              <w:jc w:val="right"/>
              <w:rPr>
                <w:rFonts w:ascii="Calibri" w:eastAsia="Times New Roman" w:hAnsi="Calibri" w:cs="Calibri"/>
                <w:color w:val="000000"/>
                <w:lang w:eastAsia="en-NZ"/>
              </w:rPr>
            </w:pPr>
            <w:r w:rsidRPr="00383CEB">
              <w:rPr>
                <w:rFonts w:ascii="Calibri" w:eastAsia="Times New Roman" w:hAnsi="Calibri" w:cs="Calibri"/>
                <w:color w:val="000000"/>
                <w:lang w:eastAsia="en-NZ"/>
              </w:rPr>
              <w:t>28</w:t>
            </w:r>
          </w:p>
        </w:tc>
        <w:tc>
          <w:tcPr>
            <w:tcW w:w="976" w:type="dxa"/>
            <w:tcBorders>
              <w:top w:val="nil"/>
              <w:left w:val="nil"/>
              <w:bottom w:val="nil"/>
              <w:right w:val="nil"/>
            </w:tcBorders>
            <w:shd w:val="clear" w:color="auto" w:fill="auto"/>
            <w:noWrap/>
            <w:vAlign w:val="bottom"/>
            <w:hideMark/>
          </w:tcPr>
          <w:p w14:paraId="6AC4782E" w14:textId="77777777" w:rsidR="00383CEB" w:rsidRPr="00383CEB" w:rsidRDefault="00383CEB" w:rsidP="00383CEB">
            <w:pPr>
              <w:spacing w:after="0" w:line="240" w:lineRule="auto"/>
              <w:jc w:val="right"/>
              <w:rPr>
                <w:rFonts w:ascii="Calibri" w:eastAsia="Times New Roman" w:hAnsi="Calibri" w:cs="Calibri"/>
                <w:color w:val="000000"/>
                <w:lang w:eastAsia="en-NZ"/>
              </w:rPr>
            </w:pPr>
            <w:r w:rsidRPr="00383CEB">
              <w:rPr>
                <w:rFonts w:ascii="Calibri" w:eastAsia="Times New Roman" w:hAnsi="Calibri" w:cs="Calibri"/>
                <w:color w:val="000000"/>
                <w:lang w:eastAsia="en-NZ"/>
              </w:rPr>
              <w:t>37</w:t>
            </w:r>
          </w:p>
        </w:tc>
        <w:tc>
          <w:tcPr>
            <w:tcW w:w="976" w:type="dxa"/>
            <w:tcBorders>
              <w:top w:val="nil"/>
              <w:left w:val="nil"/>
              <w:bottom w:val="nil"/>
              <w:right w:val="nil"/>
            </w:tcBorders>
            <w:shd w:val="clear" w:color="auto" w:fill="auto"/>
            <w:noWrap/>
            <w:vAlign w:val="bottom"/>
            <w:hideMark/>
          </w:tcPr>
          <w:p w14:paraId="0E436098" w14:textId="77777777" w:rsidR="00383CEB" w:rsidRPr="00383CEB" w:rsidRDefault="00383CEB" w:rsidP="00383CEB">
            <w:pPr>
              <w:spacing w:after="0" w:line="240" w:lineRule="auto"/>
              <w:jc w:val="right"/>
              <w:rPr>
                <w:rFonts w:ascii="Calibri" w:eastAsia="Times New Roman" w:hAnsi="Calibri" w:cs="Calibri"/>
                <w:color w:val="000000"/>
                <w:lang w:eastAsia="en-NZ"/>
              </w:rPr>
            </w:pPr>
            <w:r w:rsidRPr="00383CEB">
              <w:rPr>
                <w:rFonts w:ascii="Calibri" w:eastAsia="Times New Roman" w:hAnsi="Calibri" w:cs="Calibri"/>
                <w:color w:val="000000"/>
                <w:lang w:eastAsia="en-NZ"/>
              </w:rPr>
              <w:t>37</w:t>
            </w:r>
          </w:p>
        </w:tc>
        <w:tc>
          <w:tcPr>
            <w:tcW w:w="976" w:type="dxa"/>
            <w:tcBorders>
              <w:top w:val="nil"/>
              <w:left w:val="nil"/>
              <w:bottom w:val="nil"/>
              <w:right w:val="nil"/>
            </w:tcBorders>
            <w:shd w:val="clear" w:color="auto" w:fill="auto"/>
            <w:noWrap/>
            <w:vAlign w:val="bottom"/>
            <w:hideMark/>
          </w:tcPr>
          <w:p w14:paraId="49DD5FA4" w14:textId="77777777" w:rsidR="00383CEB" w:rsidRPr="00383CEB" w:rsidRDefault="00383CEB" w:rsidP="00383CEB">
            <w:pPr>
              <w:spacing w:after="0" w:line="240" w:lineRule="auto"/>
              <w:jc w:val="right"/>
              <w:rPr>
                <w:rFonts w:ascii="Calibri" w:eastAsia="Times New Roman" w:hAnsi="Calibri" w:cs="Calibri"/>
                <w:color w:val="000000"/>
                <w:lang w:eastAsia="en-NZ"/>
              </w:rPr>
            </w:pPr>
            <w:r w:rsidRPr="00383CEB">
              <w:rPr>
                <w:rFonts w:ascii="Calibri" w:eastAsia="Times New Roman" w:hAnsi="Calibri" w:cs="Calibri"/>
                <w:color w:val="000000"/>
                <w:lang w:eastAsia="en-NZ"/>
              </w:rPr>
              <w:t>43</w:t>
            </w:r>
          </w:p>
        </w:tc>
        <w:tc>
          <w:tcPr>
            <w:tcW w:w="976" w:type="dxa"/>
            <w:tcBorders>
              <w:top w:val="nil"/>
              <w:left w:val="nil"/>
              <w:bottom w:val="nil"/>
              <w:right w:val="nil"/>
            </w:tcBorders>
            <w:shd w:val="clear" w:color="auto" w:fill="auto"/>
            <w:noWrap/>
            <w:vAlign w:val="bottom"/>
            <w:hideMark/>
          </w:tcPr>
          <w:p w14:paraId="4CAAE7CD" w14:textId="77777777" w:rsidR="00383CEB" w:rsidRPr="00383CEB" w:rsidRDefault="00383CEB" w:rsidP="00383CEB">
            <w:pPr>
              <w:spacing w:after="0" w:line="240" w:lineRule="auto"/>
              <w:jc w:val="right"/>
              <w:rPr>
                <w:rFonts w:ascii="Calibri" w:eastAsia="Times New Roman" w:hAnsi="Calibri" w:cs="Calibri"/>
                <w:color w:val="000000"/>
                <w:lang w:eastAsia="en-NZ"/>
              </w:rPr>
            </w:pPr>
            <w:r w:rsidRPr="00383CEB">
              <w:rPr>
                <w:rFonts w:ascii="Calibri" w:eastAsia="Times New Roman" w:hAnsi="Calibri" w:cs="Calibri"/>
                <w:color w:val="000000"/>
                <w:lang w:eastAsia="en-NZ"/>
              </w:rPr>
              <w:t>53</w:t>
            </w:r>
          </w:p>
        </w:tc>
        <w:tc>
          <w:tcPr>
            <w:tcW w:w="976" w:type="dxa"/>
            <w:tcBorders>
              <w:top w:val="nil"/>
              <w:left w:val="nil"/>
              <w:bottom w:val="nil"/>
              <w:right w:val="nil"/>
            </w:tcBorders>
            <w:shd w:val="clear" w:color="auto" w:fill="auto"/>
            <w:noWrap/>
            <w:vAlign w:val="bottom"/>
            <w:hideMark/>
          </w:tcPr>
          <w:p w14:paraId="538B796A" w14:textId="77777777" w:rsidR="00383CEB" w:rsidRPr="00383CEB" w:rsidRDefault="00383CEB" w:rsidP="00383CEB">
            <w:pPr>
              <w:spacing w:after="0" w:line="240" w:lineRule="auto"/>
              <w:jc w:val="right"/>
              <w:rPr>
                <w:rFonts w:ascii="Calibri" w:eastAsia="Times New Roman" w:hAnsi="Calibri" w:cs="Calibri"/>
                <w:color w:val="000000"/>
                <w:lang w:eastAsia="en-NZ"/>
              </w:rPr>
            </w:pPr>
            <w:r w:rsidRPr="00383CEB">
              <w:rPr>
                <w:rFonts w:ascii="Calibri" w:eastAsia="Times New Roman" w:hAnsi="Calibri" w:cs="Calibri"/>
                <w:color w:val="000000"/>
                <w:lang w:eastAsia="en-NZ"/>
              </w:rPr>
              <w:t>45</w:t>
            </w:r>
          </w:p>
        </w:tc>
        <w:tc>
          <w:tcPr>
            <w:tcW w:w="1296" w:type="dxa"/>
            <w:tcBorders>
              <w:top w:val="nil"/>
              <w:left w:val="nil"/>
              <w:bottom w:val="nil"/>
              <w:right w:val="nil"/>
            </w:tcBorders>
            <w:shd w:val="clear" w:color="auto" w:fill="auto"/>
            <w:noWrap/>
            <w:vAlign w:val="bottom"/>
            <w:hideMark/>
          </w:tcPr>
          <w:p w14:paraId="28BDBE76" w14:textId="77777777" w:rsidR="00383CEB" w:rsidRPr="00383CEB" w:rsidRDefault="00383CEB" w:rsidP="00383CEB">
            <w:pPr>
              <w:spacing w:after="0" w:line="240" w:lineRule="auto"/>
              <w:jc w:val="right"/>
              <w:rPr>
                <w:rFonts w:ascii="Calibri" w:eastAsia="Times New Roman" w:hAnsi="Calibri" w:cs="Calibri"/>
                <w:color w:val="00B050"/>
                <w:lang w:eastAsia="en-NZ"/>
              </w:rPr>
            </w:pPr>
            <w:r w:rsidRPr="00383CEB">
              <w:rPr>
                <w:rFonts w:ascii="Calibri" w:eastAsia="Times New Roman" w:hAnsi="Calibri" w:cs="Calibri"/>
                <w:color w:val="00B050"/>
                <w:lang w:eastAsia="en-NZ"/>
              </w:rPr>
              <w:t>17</w:t>
            </w:r>
          </w:p>
        </w:tc>
        <w:tc>
          <w:tcPr>
            <w:tcW w:w="1256" w:type="dxa"/>
            <w:tcBorders>
              <w:top w:val="nil"/>
              <w:left w:val="nil"/>
              <w:bottom w:val="nil"/>
              <w:right w:val="nil"/>
            </w:tcBorders>
            <w:shd w:val="clear" w:color="auto" w:fill="auto"/>
            <w:noWrap/>
            <w:vAlign w:val="bottom"/>
            <w:hideMark/>
          </w:tcPr>
          <w:p w14:paraId="12407E60" w14:textId="77777777" w:rsidR="00383CEB" w:rsidRPr="00383CEB" w:rsidRDefault="00383CEB" w:rsidP="00383CEB">
            <w:pPr>
              <w:spacing w:after="0" w:line="240" w:lineRule="auto"/>
              <w:jc w:val="right"/>
              <w:rPr>
                <w:rFonts w:ascii="Calibri" w:eastAsia="Times New Roman" w:hAnsi="Calibri" w:cs="Calibri"/>
                <w:color w:val="FF0000"/>
                <w:lang w:eastAsia="en-NZ"/>
              </w:rPr>
            </w:pPr>
            <w:r w:rsidRPr="00383CEB">
              <w:rPr>
                <w:rFonts w:ascii="Calibri" w:eastAsia="Times New Roman" w:hAnsi="Calibri" w:cs="Calibri"/>
                <w:color w:val="FF0000"/>
                <w:lang w:eastAsia="en-NZ"/>
              </w:rPr>
              <w:t>-8</w:t>
            </w:r>
          </w:p>
        </w:tc>
      </w:tr>
      <w:tr w:rsidR="00383CEB" w:rsidRPr="00383CEB" w14:paraId="461D9C16" w14:textId="77777777" w:rsidTr="00383CEB">
        <w:trPr>
          <w:trHeight w:val="290"/>
        </w:trPr>
        <w:tc>
          <w:tcPr>
            <w:tcW w:w="1636" w:type="dxa"/>
            <w:tcBorders>
              <w:top w:val="nil"/>
              <w:left w:val="nil"/>
              <w:bottom w:val="nil"/>
              <w:right w:val="nil"/>
            </w:tcBorders>
            <w:shd w:val="clear" w:color="auto" w:fill="auto"/>
            <w:noWrap/>
            <w:vAlign w:val="bottom"/>
            <w:hideMark/>
          </w:tcPr>
          <w:p w14:paraId="6DF50DD2" w14:textId="77777777" w:rsidR="00383CEB" w:rsidRPr="00383CEB" w:rsidRDefault="00383CEB" w:rsidP="00383CEB">
            <w:pPr>
              <w:spacing w:after="0" w:line="240" w:lineRule="auto"/>
              <w:rPr>
                <w:rFonts w:ascii="Calibri" w:eastAsia="Times New Roman" w:hAnsi="Calibri" w:cs="Calibri"/>
                <w:color w:val="000000"/>
                <w:lang w:eastAsia="en-NZ"/>
              </w:rPr>
            </w:pPr>
            <w:r w:rsidRPr="00383CEB">
              <w:rPr>
                <w:rFonts w:ascii="Calibri" w:eastAsia="Times New Roman" w:hAnsi="Calibri" w:cs="Calibri"/>
                <w:color w:val="000000"/>
                <w:lang w:eastAsia="en-NZ"/>
              </w:rPr>
              <w:t>Guatemala</w:t>
            </w:r>
          </w:p>
        </w:tc>
        <w:tc>
          <w:tcPr>
            <w:tcW w:w="976" w:type="dxa"/>
            <w:tcBorders>
              <w:top w:val="nil"/>
              <w:left w:val="nil"/>
              <w:bottom w:val="nil"/>
              <w:right w:val="nil"/>
            </w:tcBorders>
            <w:shd w:val="clear" w:color="auto" w:fill="auto"/>
            <w:noWrap/>
            <w:vAlign w:val="bottom"/>
            <w:hideMark/>
          </w:tcPr>
          <w:p w14:paraId="6D2020EE" w14:textId="77777777" w:rsidR="00383CEB" w:rsidRPr="00383CEB" w:rsidRDefault="00383CEB" w:rsidP="00383CEB">
            <w:pPr>
              <w:spacing w:after="0" w:line="240" w:lineRule="auto"/>
              <w:jc w:val="right"/>
              <w:rPr>
                <w:rFonts w:ascii="Calibri" w:eastAsia="Times New Roman" w:hAnsi="Calibri" w:cs="Calibri"/>
                <w:color w:val="000000"/>
                <w:lang w:eastAsia="en-NZ"/>
              </w:rPr>
            </w:pPr>
            <w:r w:rsidRPr="00383CEB">
              <w:rPr>
                <w:rFonts w:ascii="Calibri" w:eastAsia="Times New Roman" w:hAnsi="Calibri" w:cs="Calibri"/>
                <w:color w:val="000000"/>
                <w:lang w:eastAsia="en-NZ"/>
              </w:rPr>
              <w:t>46</w:t>
            </w:r>
          </w:p>
        </w:tc>
        <w:tc>
          <w:tcPr>
            <w:tcW w:w="976" w:type="dxa"/>
            <w:tcBorders>
              <w:top w:val="nil"/>
              <w:left w:val="nil"/>
              <w:bottom w:val="nil"/>
              <w:right w:val="nil"/>
            </w:tcBorders>
            <w:shd w:val="clear" w:color="auto" w:fill="auto"/>
            <w:noWrap/>
            <w:vAlign w:val="bottom"/>
            <w:hideMark/>
          </w:tcPr>
          <w:p w14:paraId="049C3D2E" w14:textId="77777777" w:rsidR="00383CEB" w:rsidRPr="00383CEB" w:rsidRDefault="00383CEB" w:rsidP="00383CEB">
            <w:pPr>
              <w:spacing w:after="0" w:line="240" w:lineRule="auto"/>
              <w:jc w:val="right"/>
              <w:rPr>
                <w:rFonts w:ascii="Calibri" w:eastAsia="Times New Roman" w:hAnsi="Calibri" w:cs="Calibri"/>
                <w:color w:val="000000"/>
                <w:lang w:eastAsia="en-NZ"/>
              </w:rPr>
            </w:pPr>
            <w:r w:rsidRPr="00383CEB">
              <w:rPr>
                <w:rFonts w:ascii="Calibri" w:eastAsia="Times New Roman" w:hAnsi="Calibri" w:cs="Calibri"/>
                <w:color w:val="000000"/>
                <w:lang w:eastAsia="en-NZ"/>
              </w:rPr>
              <w:t>46</w:t>
            </w:r>
          </w:p>
        </w:tc>
        <w:tc>
          <w:tcPr>
            <w:tcW w:w="976" w:type="dxa"/>
            <w:tcBorders>
              <w:top w:val="nil"/>
              <w:left w:val="nil"/>
              <w:bottom w:val="nil"/>
              <w:right w:val="nil"/>
            </w:tcBorders>
            <w:shd w:val="clear" w:color="auto" w:fill="auto"/>
            <w:noWrap/>
            <w:vAlign w:val="bottom"/>
            <w:hideMark/>
          </w:tcPr>
          <w:p w14:paraId="78E3C4C8" w14:textId="77777777" w:rsidR="00383CEB" w:rsidRPr="00383CEB" w:rsidRDefault="00383CEB" w:rsidP="00383CEB">
            <w:pPr>
              <w:spacing w:after="0" w:line="240" w:lineRule="auto"/>
              <w:jc w:val="right"/>
              <w:rPr>
                <w:rFonts w:ascii="Calibri" w:eastAsia="Times New Roman" w:hAnsi="Calibri" w:cs="Calibri"/>
                <w:color w:val="000000"/>
                <w:lang w:eastAsia="en-NZ"/>
              </w:rPr>
            </w:pPr>
            <w:r w:rsidRPr="00383CEB">
              <w:rPr>
                <w:rFonts w:ascii="Calibri" w:eastAsia="Times New Roman" w:hAnsi="Calibri" w:cs="Calibri"/>
                <w:color w:val="000000"/>
                <w:lang w:eastAsia="en-NZ"/>
              </w:rPr>
              <w:t>50</w:t>
            </w:r>
          </w:p>
        </w:tc>
        <w:tc>
          <w:tcPr>
            <w:tcW w:w="976" w:type="dxa"/>
            <w:tcBorders>
              <w:top w:val="nil"/>
              <w:left w:val="nil"/>
              <w:bottom w:val="nil"/>
              <w:right w:val="nil"/>
            </w:tcBorders>
            <w:shd w:val="clear" w:color="auto" w:fill="auto"/>
            <w:noWrap/>
            <w:vAlign w:val="bottom"/>
            <w:hideMark/>
          </w:tcPr>
          <w:p w14:paraId="550119E7" w14:textId="77777777" w:rsidR="00383CEB" w:rsidRPr="00383CEB" w:rsidRDefault="00383CEB" w:rsidP="00383CEB">
            <w:pPr>
              <w:spacing w:after="0" w:line="240" w:lineRule="auto"/>
              <w:jc w:val="right"/>
              <w:rPr>
                <w:rFonts w:ascii="Calibri" w:eastAsia="Times New Roman" w:hAnsi="Calibri" w:cs="Calibri"/>
                <w:color w:val="000000"/>
                <w:lang w:eastAsia="en-NZ"/>
              </w:rPr>
            </w:pPr>
            <w:r w:rsidRPr="00383CEB">
              <w:rPr>
                <w:rFonts w:ascii="Calibri" w:eastAsia="Times New Roman" w:hAnsi="Calibri" w:cs="Calibri"/>
                <w:color w:val="000000"/>
                <w:lang w:eastAsia="en-NZ"/>
              </w:rPr>
              <w:t>51</w:t>
            </w:r>
          </w:p>
        </w:tc>
        <w:tc>
          <w:tcPr>
            <w:tcW w:w="976" w:type="dxa"/>
            <w:tcBorders>
              <w:top w:val="nil"/>
              <w:left w:val="nil"/>
              <w:bottom w:val="nil"/>
              <w:right w:val="nil"/>
            </w:tcBorders>
            <w:shd w:val="clear" w:color="auto" w:fill="auto"/>
            <w:noWrap/>
            <w:vAlign w:val="bottom"/>
            <w:hideMark/>
          </w:tcPr>
          <w:p w14:paraId="264B8677" w14:textId="77777777" w:rsidR="00383CEB" w:rsidRPr="00383CEB" w:rsidRDefault="00383CEB" w:rsidP="00383CEB">
            <w:pPr>
              <w:spacing w:after="0" w:line="240" w:lineRule="auto"/>
              <w:jc w:val="right"/>
              <w:rPr>
                <w:rFonts w:ascii="Calibri" w:eastAsia="Times New Roman" w:hAnsi="Calibri" w:cs="Calibri"/>
                <w:color w:val="000000"/>
                <w:lang w:eastAsia="en-NZ"/>
              </w:rPr>
            </w:pPr>
            <w:r w:rsidRPr="00383CEB">
              <w:rPr>
                <w:rFonts w:ascii="Calibri" w:eastAsia="Times New Roman" w:hAnsi="Calibri" w:cs="Calibri"/>
                <w:color w:val="000000"/>
                <w:lang w:eastAsia="en-NZ"/>
              </w:rPr>
              <w:t>46</w:t>
            </w:r>
          </w:p>
        </w:tc>
        <w:tc>
          <w:tcPr>
            <w:tcW w:w="976" w:type="dxa"/>
            <w:tcBorders>
              <w:top w:val="nil"/>
              <w:left w:val="nil"/>
              <w:bottom w:val="nil"/>
              <w:right w:val="nil"/>
            </w:tcBorders>
            <w:shd w:val="clear" w:color="auto" w:fill="auto"/>
            <w:noWrap/>
            <w:vAlign w:val="bottom"/>
            <w:hideMark/>
          </w:tcPr>
          <w:p w14:paraId="3A724B03" w14:textId="77777777" w:rsidR="00383CEB" w:rsidRPr="00383CEB" w:rsidRDefault="00383CEB" w:rsidP="00383CEB">
            <w:pPr>
              <w:spacing w:after="0" w:line="240" w:lineRule="auto"/>
              <w:jc w:val="right"/>
              <w:rPr>
                <w:rFonts w:ascii="Calibri" w:eastAsia="Times New Roman" w:hAnsi="Calibri" w:cs="Calibri"/>
                <w:color w:val="000000"/>
                <w:lang w:eastAsia="en-NZ"/>
              </w:rPr>
            </w:pPr>
            <w:r w:rsidRPr="00383CEB">
              <w:rPr>
                <w:rFonts w:ascii="Calibri" w:eastAsia="Times New Roman" w:hAnsi="Calibri" w:cs="Calibri"/>
                <w:color w:val="000000"/>
                <w:lang w:eastAsia="en-NZ"/>
              </w:rPr>
              <w:t>61</w:t>
            </w:r>
          </w:p>
        </w:tc>
        <w:tc>
          <w:tcPr>
            <w:tcW w:w="1296" w:type="dxa"/>
            <w:tcBorders>
              <w:top w:val="nil"/>
              <w:left w:val="nil"/>
              <w:bottom w:val="nil"/>
              <w:right w:val="nil"/>
            </w:tcBorders>
            <w:shd w:val="clear" w:color="auto" w:fill="auto"/>
            <w:noWrap/>
            <w:vAlign w:val="bottom"/>
            <w:hideMark/>
          </w:tcPr>
          <w:p w14:paraId="4DB48C61" w14:textId="77777777" w:rsidR="00383CEB" w:rsidRPr="00383CEB" w:rsidRDefault="00383CEB" w:rsidP="00383CEB">
            <w:pPr>
              <w:spacing w:after="0" w:line="240" w:lineRule="auto"/>
              <w:jc w:val="right"/>
              <w:rPr>
                <w:rFonts w:ascii="Calibri" w:eastAsia="Times New Roman" w:hAnsi="Calibri" w:cs="Calibri"/>
                <w:color w:val="00B050"/>
                <w:lang w:eastAsia="en-NZ"/>
              </w:rPr>
            </w:pPr>
            <w:r w:rsidRPr="00383CEB">
              <w:rPr>
                <w:rFonts w:ascii="Calibri" w:eastAsia="Times New Roman" w:hAnsi="Calibri" w:cs="Calibri"/>
                <w:color w:val="00B050"/>
                <w:lang w:eastAsia="en-NZ"/>
              </w:rPr>
              <w:t>15</w:t>
            </w:r>
          </w:p>
        </w:tc>
        <w:tc>
          <w:tcPr>
            <w:tcW w:w="1256" w:type="dxa"/>
            <w:tcBorders>
              <w:top w:val="nil"/>
              <w:left w:val="nil"/>
              <w:bottom w:val="nil"/>
              <w:right w:val="nil"/>
            </w:tcBorders>
            <w:shd w:val="clear" w:color="auto" w:fill="auto"/>
            <w:noWrap/>
            <w:vAlign w:val="bottom"/>
            <w:hideMark/>
          </w:tcPr>
          <w:p w14:paraId="227A3A5C" w14:textId="77777777" w:rsidR="00383CEB" w:rsidRPr="00383CEB" w:rsidRDefault="00383CEB" w:rsidP="00383CEB">
            <w:pPr>
              <w:spacing w:after="0" w:line="240" w:lineRule="auto"/>
              <w:jc w:val="right"/>
              <w:rPr>
                <w:rFonts w:ascii="Calibri" w:eastAsia="Times New Roman" w:hAnsi="Calibri" w:cs="Calibri"/>
                <w:color w:val="00B050"/>
                <w:lang w:eastAsia="en-NZ"/>
              </w:rPr>
            </w:pPr>
            <w:r w:rsidRPr="00383CEB">
              <w:rPr>
                <w:rFonts w:ascii="Calibri" w:eastAsia="Times New Roman" w:hAnsi="Calibri" w:cs="Calibri"/>
                <w:color w:val="00B050"/>
                <w:lang w:eastAsia="en-NZ"/>
              </w:rPr>
              <w:t>15</w:t>
            </w:r>
          </w:p>
        </w:tc>
      </w:tr>
      <w:tr w:rsidR="00383CEB" w:rsidRPr="00383CEB" w14:paraId="2E54172E" w14:textId="77777777" w:rsidTr="00383CEB">
        <w:trPr>
          <w:trHeight w:val="290"/>
        </w:trPr>
        <w:tc>
          <w:tcPr>
            <w:tcW w:w="1636" w:type="dxa"/>
            <w:tcBorders>
              <w:top w:val="nil"/>
              <w:left w:val="nil"/>
              <w:bottom w:val="nil"/>
              <w:right w:val="nil"/>
            </w:tcBorders>
            <w:shd w:val="clear" w:color="auto" w:fill="auto"/>
            <w:noWrap/>
            <w:vAlign w:val="bottom"/>
            <w:hideMark/>
          </w:tcPr>
          <w:p w14:paraId="78F9C876" w14:textId="77777777" w:rsidR="00383CEB" w:rsidRPr="00383CEB" w:rsidRDefault="00383CEB" w:rsidP="00383CEB">
            <w:pPr>
              <w:spacing w:after="0" w:line="240" w:lineRule="auto"/>
              <w:rPr>
                <w:rFonts w:ascii="Calibri" w:eastAsia="Times New Roman" w:hAnsi="Calibri" w:cs="Calibri"/>
                <w:color w:val="000000"/>
                <w:lang w:eastAsia="en-NZ"/>
              </w:rPr>
            </w:pPr>
            <w:r w:rsidRPr="00383CEB">
              <w:rPr>
                <w:rFonts w:ascii="Calibri" w:eastAsia="Times New Roman" w:hAnsi="Calibri" w:cs="Calibri"/>
                <w:color w:val="000000"/>
                <w:lang w:eastAsia="en-NZ"/>
              </w:rPr>
              <w:t>Indonesia</w:t>
            </w:r>
          </w:p>
        </w:tc>
        <w:tc>
          <w:tcPr>
            <w:tcW w:w="976" w:type="dxa"/>
            <w:tcBorders>
              <w:top w:val="nil"/>
              <w:left w:val="nil"/>
              <w:bottom w:val="nil"/>
              <w:right w:val="nil"/>
            </w:tcBorders>
            <w:shd w:val="clear" w:color="auto" w:fill="auto"/>
            <w:noWrap/>
            <w:vAlign w:val="bottom"/>
            <w:hideMark/>
          </w:tcPr>
          <w:p w14:paraId="218C5A38" w14:textId="77777777" w:rsidR="00383CEB" w:rsidRPr="00383CEB" w:rsidRDefault="00383CEB" w:rsidP="00383CEB">
            <w:pPr>
              <w:spacing w:after="0" w:line="240" w:lineRule="auto"/>
              <w:jc w:val="right"/>
              <w:rPr>
                <w:rFonts w:ascii="Calibri" w:eastAsia="Times New Roman" w:hAnsi="Calibri" w:cs="Calibri"/>
                <w:color w:val="000000"/>
                <w:lang w:eastAsia="en-NZ"/>
              </w:rPr>
            </w:pPr>
            <w:r w:rsidRPr="00383CEB">
              <w:rPr>
                <w:rFonts w:ascii="Calibri" w:eastAsia="Times New Roman" w:hAnsi="Calibri" w:cs="Calibri"/>
                <w:color w:val="000000"/>
                <w:lang w:eastAsia="en-NZ"/>
              </w:rPr>
              <w:t>42</w:t>
            </w:r>
          </w:p>
        </w:tc>
        <w:tc>
          <w:tcPr>
            <w:tcW w:w="976" w:type="dxa"/>
            <w:tcBorders>
              <w:top w:val="nil"/>
              <w:left w:val="nil"/>
              <w:bottom w:val="nil"/>
              <w:right w:val="nil"/>
            </w:tcBorders>
            <w:shd w:val="clear" w:color="auto" w:fill="auto"/>
            <w:noWrap/>
            <w:vAlign w:val="bottom"/>
            <w:hideMark/>
          </w:tcPr>
          <w:p w14:paraId="206DD9DB" w14:textId="77777777" w:rsidR="00383CEB" w:rsidRPr="00383CEB" w:rsidRDefault="00383CEB" w:rsidP="00383CEB">
            <w:pPr>
              <w:spacing w:after="0" w:line="240" w:lineRule="auto"/>
              <w:jc w:val="right"/>
              <w:rPr>
                <w:rFonts w:ascii="Calibri" w:eastAsia="Times New Roman" w:hAnsi="Calibri" w:cs="Calibri"/>
                <w:color w:val="000000"/>
                <w:lang w:eastAsia="en-NZ"/>
              </w:rPr>
            </w:pPr>
            <w:r w:rsidRPr="00383CEB">
              <w:rPr>
                <w:rFonts w:ascii="Calibri" w:eastAsia="Times New Roman" w:hAnsi="Calibri" w:cs="Calibri"/>
                <w:color w:val="000000"/>
                <w:lang w:eastAsia="en-NZ"/>
              </w:rPr>
              <w:t>54</w:t>
            </w:r>
          </w:p>
        </w:tc>
        <w:tc>
          <w:tcPr>
            <w:tcW w:w="976" w:type="dxa"/>
            <w:tcBorders>
              <w:top w:val="nil"/>
              <w:left w:val="nil"/>
              <w:bottom w:val="nil"/>
              <w:right w:val="nil"/>
            </w:tcBorders>
            <w:shd w:val="clear" w:color="auto" w:fill="auto"/>
            <w:noWrap/>
            <w:vAlign w:val="bottom"/>
            <w:hideMark/>
          </w:tcPr>
          <w:p w14:paraId="314B7349" w14:textId="77777777" w:rsidR="00383CEB" w:rsidRPr="00383CEB" w:rsidRDefault="00383CEB" w:rsidP="00383CEB">
            <w:pPr>
              <w:spacing w:after="0" w:line="240" w:lineRule="auto"/>
              <w:jc w:val="right"/>
              <w:rPr>
                <w:rFonts w:ascii="Calibri" w:eastAsia="Times New Roman" w:hAnsi="Calibri" w:cs="Calibri"/>
                <w:color w:val="000000"/>
                <w:lang w:eastAsia="en-NZ"/>
              </w:rPr>
            </w:pPr>
            <w:r w:rsidRPr="00383CEB">
              <w:rPr>
                <w:rFonts w:ascii="Calibri" w:eastAsia="Times New Roman" w:hAnsi="Calibri" w:cs="Calibri"/>
                <w:color w:val="000000"/>
                <w:lang w:eastAsia="en-NZ"/>
              </w:rPr>
              <w:t>51</w:t>
            </w:r>
          </w:p>
        </w:tc>
        <w:tc>
          <w:tcPr>
            <w:tcW w:w="976" w:type="dxa"/>
            <w:tcBorders>
              <w:top w:val="nil"/>
              <w:left w:val="nil"/>
              <w:bottom w:val="nil"/>
              <w:right w:val="nil"/>
            </w:tcBorders>
            <w:shd w:val="clear" w:color="auto" w:fill="auto"/>
            <w:noWrap/>
            <w:vAlign w:val="bottom"/>
            <w:hideMark/>
          </w:tcPr>
          <w:p w14:paraId="3692915C" w14:textId="77777777" w:rsidR="00383CEB" w:rsidRPr="00383CEB" w:rsidRDefault="00383CEB" w:rsidP="00383CEB">
            <w:pPr>
              <w:spacing w:after="0" w:line="240" w:lineRule="auto"/>
              <w:jc w:val="right"/>
              <w:rPr>
                <w:rFonts w:ascii="Calibri" w:eastAsia="Times New Roman" w:hAnsi="Calibri" w:cs="Calibri"/>
                <w:color w:val="000000"/>
                <w:lang w:eastAsia="en-NZ"/>
              </w:rPr>
            </w:pPr>
            <w:r w:rsidRPr="00383CEB">
              <w:rPr>
                <w:rFonts w:ascii="Calibri" w:eastAsia="Times New Roman" w:hAnsi="Calibri" w:cs="Calibri"/>
                <w:color w:val="000000"/>
                <w:lang w:eastAsia="en-NZ"/>
              </w:rPr>
              <w:t>62</w:t>
            </w:r>
          </w:p>
        </w:tc>
        <w:tc>
          <w:tcPr>
            <w:tcW w:w="976" w:type="dxa"/>
            <w:tcBorders>
              <w:top w:val="nil"/>
              <w:left w:val="nil"/>
              <w:bottom w:val="nil"/>
              <w:right w:val="nil"/>
            </w:tcBorders>
            <w:shd w:val="clear" w:color="auto" w:fill="auto"/>
            <w:noWrap/>
            <w:vAlign w:val="bottom"/>
            <w:hideMark/>
          </w:tcPr>
          <w:p w14:paraId="2FDF4818" w14:textId="77777777" w:rsidR="00383CEB" w:rsidRPr="00383CEB" w:rsidRDefault="00383CEB" w:rsidP="00383CEB">
            <w:pPr>
              <w:spacing w:after="0" w:line="240" w:lineRule="auto"/>
              <w:jc w:val="right"/>
              <w:rPr>
                <w:rFonts w:ascii="Calibri" w:eastAsia="Times New Roman" w:hAnsi="Calibri" w:cs="Calibri"/>
                <w:color w:val="000000"/>
                <w:lang w:eastAsia="en-NZ"/>
              </w:rPr>
            </w:pPr>
            <w:r w:rsidRPr="00383CEB">
              <w:rPr>
                <w:rFonts w:ascii="Calibri" w:eastAsia="Times New Roman" w:hAnsi="Calibri" w:cs="Calibri"/>
                <w:color w:val="000000"/>
                <w:lang w:eastAsia="en-NZ"/>
              </w:rPr>
              <w:t>59</w:t>
            </w:r>
          </w:p>
        </w:tc>
        <w:tc>
          <w:tcPr>
            <w:tcW w:w="976" w:type="dxa"/>
            <w:tcBorders>
              <w:top w:val="nil"/>
              <w:left w:val="nil"/>
              <w:bottom w:val="nil"/>
              <w:right w:val="nil"/>
            </w:tcBorders>
            <w:shd w:val="clear" w:color="auto" w:fill="auto"/>
            <w:noWrap/>
            <w:vAlign w:val="bottom"/>
            <w:hideMark/>
          </w:tcPr>
          <w:p w14:paraId="23DD9A1C" w14:textId="77777777" w:rsidR="00383CEB" w:rsidRPr="00383CEB" w:rsidRDefault="00383CEB" w:rsidP="00383CEB">
            <w:pPr>
              <w:spacing w:after="0" w:line="240" w:lineRule="auto"/>
              <w:jc w:val="right"/>
              <w:rPr>
                <w:rFonts w:ascii="Calibri" w:eastAsia="Times New Roman" w:hAnsi="Calibri" w:cs="Calibri"/>
                <w:color w:val="000000"/>
                <w:lang w:eastAsia="en-NZ"/>
              </w:rPr>
            </w:pPr>
            <w:r w:rsidRPr="00383CEB">
              <w:rPr>
                <w:rFonts w:ascii="Calibri" w:eastAsia="Times New Roman" w:hAnsi="Calibri" w:cs="Calibri"/>
                <w:color w:val="000000"/>
                <w:lang w:eastAsia="en-NZ"/>
              </w:rPr>
              <w:t>64</w:t>
            </w:r>
          </w:p>
        </w:tc>
        <w:tc>
          <w:tcPr>
            <w:tcW w:w="1296" w:type="dxa"/>
            <w:tcBorders>
              <w:top w:val="nil"/>
              <w:left w:val="nil"/>
              <w:bottom w:val="nil"/>
              <w:right w:val="nil"/>
            </w:tcBorders>
            <w:shd w:val="clear" w:color="auto" w:fill="auto"/>
            <w:noWrap/>
            <w:vAlign w:val="bottom"/>
            <w:hideMark/>
          </w:tcPr>
          <w:p w14:paraId="076DF267" w14:textId="77777777" w:rsidR="00383CEB" w:rsidRPr="00383CEB" w:rsidRDefault="00383CEB" w:rsidP="00383CEB">
            <w:pPr>
              <w:spacing w:after="0" w:line="240" w:lineRule="auto"/>
              <w:jc w:val="right"/>
              <w:rPr>
                <w:rFonts w:ascii="Calibri" w:eastAsia="Times New Roman" w:hAnsi="Calibri" w:cs="Calibri"/>
                <w:color w:val="00B050"/>
                <w:lang w:eastAsia="en-NZ"/>
              </w:rPr>
            </w:pPr>
            <w:r w:rsidRPr="00383CEB">
              <w:rPr>
                <w:rFonts w:ascii="Calibri" w:eastAsia="Times New Roman" w:hAnsi="Calibri" w:cs="Calibri"/>
                <w:color w:val="00B050"/>
                <w:lang w:eastAsia="en-NZ"/>
              </w:rPr>
              <w:t>22</w:t>
            </w:r>
          </w:p>
        </w:tc>
        <w:tc>
          <w:tcPr>
            <w:tcW w:w="1256" w:type="dxa"/>
            <w:tcBorders>
              <w:top w:val="nil"/>
              <w:left w:val="nil"/>
              <w:bottom w:val="nil"/>
              <w:right w:val="nil"/>
            </w:tcBorders>
            <w:shd w:val="clear" w:color="auto" w:fill="auto"/>
            <w:noWrap/>
            <w:vAlign w:val="bottom"/>
            <w:hideMark/>
          </w:tcPr>
          <w:p w14:paraId="1FF8FECF" w14:textId="77777777" w:rsidR="00383CEB" w:rsidRPr="0025534A" w:rsidRDefault="00383CEB" w:rsidP="00383CEB">
            <w:pPr>
              <w:spacing w:after="0" w:line="240" w:lineRule="auto"/>
              <w:jc w:val="right"/>
              <w:rPr>
                <w:rFonts w:ascii="Calibri" w:eastAsia="Times New Roman" w:hAnsi="Calibri" w:cs="Calibri"/>
                <w:color w:val="00B050"/>
                <w:lang w:eastAsia="en-NZ"/>
              </w:rPr>
            </w:pPr>
            <w:r w:rsidRPr="0025534A">
              <w:rPr>
                <w:rFonts w:ascii="Calibri" w:eastAsia="Times New Roman" w:hAnsi="Calibri" w:cs="Calibri"/>
                <w:color w:val="00B050"/>
                <w:lang w:eastAsia="en-NZ"/>
              </w:rPr>
              <w:t>5</w:t>
            </w:r>
          </w:p>
        </w:tc>
      </w:tr>
      <w:tr w:rsidR="00383CEB" w:rsidRPr="00383CEB" w14:paraId="0A84CF2A" w14:textId="77777777" w:rsidTr="00383CEB">
        <w:trPr>
          <w:trHeight w:val="290"/>
        </w:trPr>
        <w:tc>
          <w:tcPr>
            <w:tcW w:w="1636" w:type="dxa"/>
            <w:tcBorders>
              <w:top w:val="nil"/>
              <w:left w:val="nil"/>
              <w:bottom w:val="nil"/>
              <w:right w:val="nil"/>
            </w:tcBorders>
            <w:shd w:val="clear" w:color="auto" w:fill="auto"/>
            <w:noWrap/>
            <w:vAlign w:val="bottom"/>
            <w:hideMark/>
          </w:tcPr>
          <w:p w14:paraId="6B09FA3A" w14:textId="77777777" w:rsidR="00383CEB" w:rsidRPr="00383CEB" w:rsidRDefault="00383CEB" w:rsidP="00383CEB">
            <w:pPr>
              <w:spacing w:after="0" w:line="240" w:lineRule="auto"/>
              <w:rPr>
                <w:rFonts w:ascii="Calibri" w:eastAsia="Times New Roman" w:hAnsi="Calibri" w:cs="Calibri"/>
                <w:color w:val="000000"/>
                <w:lang w:eastAsia="en-NZ"/>
              </w:rPr>
            </w:pPr>
            <w:r w:rsidRPr="00383CEB">
              <w:rPr>
                <w:rFonts w:ascii="Calibri" w:eastAsia="Times New Roman" w:hAnsi="Calibri" w:cs="Calibri"/>
                <w:color w:val="000000"/>
                <w:lang w:eastAsia="en-NZ"/>
              </w:rPr>
              <w:t>Liberia</w:t>
            </w:r>
          </w:p>
        </w:tc>
        <w:tc>
          <w:tcPr>
            <w:tcW w:w="976" w:type="dxa"/>
            <w:tcBorders>
              <w:top w:val="nil"/>
              <w:left w:val="nil"/>
              <w:bottom w:val="nil"/>
              <w:right w:val="nil"/>
            </w:tcBorders>
            <w:shd w:val="clear" w:color="auto" w:fill="auto"/>
            <w:noWrap/>
            <w:vAlign w:val="bottom"/>
            <w:hideMark/>
          </w:tcPr>
          <w:p w14:paraId="78D17DF3" w14:textId="77777777" w:rsidR="00383CEB" w:rsidRPr="00383CEB" w:rsidRDefault="00383CEB" w:rsidP="00383CEB">
            <w:pPr>
              <w:spacing w:after="0" w:line="240" w:lineRule="auto"/>
              <w:rPr>
                <w:rFonts w:ascii="Calibri" w:eastAsia="Times New Roman" w:hAnsi="Calibri" w:cs="Calibri"/>
                <w:color w:val="000000"/>
                <w:lang w:eastAsia="en-NZ"/>
              </w:rPr>
            </w:pPr>
          </w:p>
        </w:tc>
        <w:tc>
          <w:tcPr>
            <w:tcW w:w="976" w:type="dxa"/>
            <w:tcBorders>
              <w:top w:val="nil"/>
              <w:left w:val="nil"/>
              <w:bottom w:val="nil"/>
              <w:right w:val="nil"/>
            </w:tcBorders>
            <w:shd w:val="clear" w:color="auto" w:fill="auto"/>
            <w:noWrap/>
            <w:vAlign w:val="bottom"/>
            <w:hideMark/>
          </w:tcPr>
          <w:p w14:paraId="17D9CF49" w14:textId="77777777" w:rsidR="00383CEB" w:rsidRPr="00383CEB" w:rsidRDefault="00383CEB" w:rsidP="00383CEB">
            <w:pPr>
              <w:spacing w:after="0" w:line="240" w:lineRule="auto"/>
              <w:jc w:val="right"/>
              <w:rPr>
                <w:rFonts w:ascii="Calibri" w:eastAsia="Times New Roman" w:hAnsi="Calibri" w:cs="Calibri"/>
                <w:color w:val="000000"/>
                <w:lang w:eastAsia="en-NZ"/>
              </w:rPr>
            </w:pPr>
            <w:r w:rsidRPr="00383CEB">
              <w:rPr>
                <w:rFonts w:ascii="Calibri" w:eastAsia="Times New Roman" w:hAnsi="Calibri" w:cs="Calibri"/>
                <w:color w:val="000000"/>
                <w:lang w:eastAsia="en-NZ"/>
              </w:rPr>
              <w:t>3</w:t>
            </w:r>
          </w:p>
        </w:tc>
        <w:tc>
          <w:tcPr>
            <w:tcW w:w="976" w:type="dxa"/>
            <w:tcBorders>
              <w:top w:val="nil"/>
              <w:left w:val="nil"/>
              <w:bottom w:val="nil"/>
              <w:right w:val="nil"/>
            </w:tcBorders>
            <w:shd w:val="clear" w:color="auto" w:fill="auto"/>
            <w:noWrap/>
            <w:vAlign w:val="bottom"/>
            <w:hideMark/>
          </w:tcPr>
          <w:p w14:paraId="19F1EEAD" w14:textId="77777777" w:rsidR="00383CEB" w:rsidRPr="00383CEB" w:rsidRDefault="00383CEB" w:rsidP="00383CEB">
            <w:pPr>
              <w:spacing w:after="0" w:line="240" w:lineRule="auto"/>
              <w:jc w:val="right"/>
              <w:rPr>
                <w:rFonts w:ascii="Calibri" w:eastAsia="Times New Roman" w:hAnsi="Calibri" w:cs="Calibri"/>
                <w:color w:val="000000"/>
                <w:lang w:eastAsia="en-NZ"/>
              </w:rPr>
            </w:pPr>
            <w:r w:rsidRPr="00383CEB">
              <w:rPr>
                <w:rFonts w:ascii="Calibri" w:eastAsia="Times New Roman" w:hAnsi="Calibri" w:cs="Calibri"/>
                <w:color w:val="000000"/>
                <w:lang w:eastAsia="en-NZ"/>
              </w:rPr>
              <w:t>40</w:t>
            </w:r>
          </w:p>
        </w:tc>
        <w:tc>
          <w:tcPr>
            <w:tcW w:w="976" w:type="dxa"/>
            <w:tcBorders>
              <w:top w:val="nil"/>
              <w:left w:val="nil"/>
              <w:bottom w:val="nil"/>
              <w:right w:val="nil"/>
            </w:tcBorders>
            <w:shd w:val="clear" w:color="auto" w:fill="auto"/>
            <w:noWrap/>
            <w:vAlign w:val="bottom"/>
            <w:hideMark/>
          </w:tcPr>
          <w:p w14:paraId="715E1D70" w14:textId="77777777" w:rsidR="00383CEB" w:rsidRPr="00383CEB" w:rsidRDefault="00383CEB" w:rsidP="00383CEB">
            <w:pPr>
              <w:spacing w:after="0" w:line="240" w:lineRule="auto"/>
              <w:jc w:val="right"/>
              <w:rPr>
                <w:rFonts w:ascii="Calibri" w:eastAsia="Times New Roman" w:hAnsi="Calibri" w:cs="Calibri"/>
                <w:color w:val="000000"/>
                <w:lang w:eastAsia="en-NZ"/>
              </w:rPr>
            </w:pPr>
            <w:r w:rsidRPr="00383CEB">
              <w:rPr>
                <w:rFonts w:ascii="Calibri" w:eastAsia="Times New Roman" w:hAnsi="Calibri" w:cs="Calibri"/>
                <w:color w:val="000000"/>
                <w:lang w:eastAsia="en-NZ"/>
              </w:rPr>
              <w:t>43</w:t>
            </w:r>
          </w:p>
        </w:tc>
        <w:tc>
          <w:tcPr>
            <w:tcW w:w="976" w:type="dxa"/>
            <w:tcBorders>
              <w:top w:val="nil"/>
              <w:left w:val="nil"/>
              <w:bottom w:val="nil"/>
              <w:right w:val="nil"/>
            </w:tcBorders>
            <w:shd w:val="clear" w:color="auto" w:fill="auto"/>
            <w:noWrap/>
            <w:vAlign w:val="bottom"/>
            <w:hideMark/>
          </w:tcPr>
          <w:p w14:paraId="429C538A" w14:textId="77777777" w:rsidR="00383CEB" w:rsidRPr="00383CEB" w:rsidRDefault="00383CEB" w:rsidP="00383CEB">
            <w:pPr>
              <w:spacing w:after="0" w:line="240" w:lineRule="auto"/>
              <w:jc w:val="right"/>
              <w:rPr>
                <w:rFonts w:ascii="Calibri" w:eastAsia="Times New Roman" w:hAnsi="Calibri" w:cs="Calibri"/>
                <w:color w:val="000000"/>
                <w:lang w:eastAsia="en-NZ"/>
              </w:rPr>
            </w:pPr>
            <w:r w:rsidRPr="00383CEB">
              <w:rPr>
                <w:rFonts w:ascii="Calibri" w:eastAsia="Times New Roman" w:hAnsi="Calibri" w:cs="Calibri"/>
                <w:color w:val="000000"/>
                <w:lang w:eastAsia="en-NZ"/>
              </w:rPr>
              <w:t>38</w:t>
            </w:r>
          </w:p>
        </w:tc>
        <w:tc>
          <w:tcPr>
            <w:tcW w:w="976" w:type="dxa"/>
            <w:tcBorders>
              <w:top w:val="nil"/>
              <w:left w:val="nil"/>
              <w:bottom w:val="nil"/>
              <w:right w:val="nil"/>
            </w:tcBorders>
            <w:shd w:val="clear" w:color="auto" w:fill="auto"/>
            <w:noWrap/>
            <w:vAlign w:val="bottom"/>
            <w:hideMark/>
          </w:tcPr>
          <w:p w14:paraId="023DA6BC" w14:textId="77777777" w:rsidR="00383CEB" w:rsidRPr="00383CEB" w:rsidRDefault="00383CEB" w:rsidP="00383CEB">
            <w:pPr>
              <w:spacing w:after="0" w:line="240" w:lineRule="auto"/>
              <w:jc w:val="right"/>
              <w:rPr>
                <w:rFonts w:ascii="Calibri" w:eastAsia="Times New Roman" w:hAnsi="Calibri" w:cs="Calibri"/>
                <w:color w:val="000000"/>
                <w:lang w:eastAsia="en-NZ"/>
              </w:rPr>
            </w:pPr>
            <w:r w:rsidRPr="00383CEB">
              <w:rPr>
                <w:rFonts w:ascii="Calibri" w:eastAsia="Times New Roman" w:hAnsi="Calibri" w:cs="Calibri"/>
                <w:color w:val="000000"/>
                <w:lang w:eastAsia="en-NZ"/>
              </w:rPr>
              <w:t>36</w:t>
            </w:r>
          </w:p>
        </w:tc>
        <w:tc>
          <w:tcPr>
            <w:tcW w:w="1296" w:type="dxa"/>
            <w:tcBorders>
              <w:top w:val="nil"/>
              <w:left w:val="nil"/>
              <w:bottom w:val="nil"/>
              <w:right w:val="nil"/>
            </w:tcBorders>
            <w:shd w:val="clear" w:color="auto" w:fill="auto"/>
            <w:noWrap/>
            <w:vAlign w:val="bottom"/>
            <w:hideMark/>
          </w:tcPr>
          <w:p w14:paraId="1232265C" w14:textId="77777777" w:rsidR="00383CEB" w:rsidRPr="00383CEB" w:rsidRDefault="00383CEB" w:rsidP="00383CEB">
            <w:pPr>
              <w:spacing w:after="0" w:line="240" w:lineRule="auto"/>
              <w:jc w:val="right"/>
              <w:rPr>
                <w:rFonts w:ascii="Calibri" w:eastAsia="Times New Roman" w:hAnsi="Calibri" w:cs="Calibri"/>
                <w:color w:val="00B050"/>
                <w:lang w:eastAsia="en-NZ"/>
              </w:rPr>
            </w:pPr>
            <w:r w:rsidRPr="00383CEB">
              <w:rPr>
                <w:rFonts w:ascii="Calibri" w:eastAsia="Times New Roman" w:hAnsi="Calibri" w:cs="Calibri"/>
                <w:color w:val="00B050"/>
                <w:lang w:eastAsia="en-NZ"/>
              </w:rPr>
              <w:t>33</w:t>
            </w:r>
          </w:p>
        </w:tc>
        <w:tc>
          <w:tcPr>
            <w:tcW w:w="1256" w:type="dxa"/>
            <w:tcBorders>
              <w:top w:val="nil"/>
              <w:left w:val="nil"/>
              <w:bottom w:val="nil"/>
              <w:right w:val="nil"/>
            </w:tcBorders>
            <w:shd w:val="clear" w:color="auto" w:fill="auto"/>
            <w:noWrap/>
            <w:vAlign w:val="bottom"/>
            <w:hideMark/>
          </w:tcPr>
          <w:p w14:paraId="28F64369" w14:textId="77777777" w:rsidR="00383CEB" w:rsidRPr="00383CEB" w:rsidRDefault="00383CEB" w:rsidP="00383CEB">
            <w:pPr>
              <w:spacing w:after="0" w:line="240" w:lineRule="auto"/>
              <w:jc w:val="right"/>
              <w:rPr>
                <w:rFonts w:ascii="Calibri" w:eastAsia="Times New Roman" w:hAnsi="Calibri" w:cs="Calibri"/>
                <w:color w:val="FF0000"/>
                <w:lang w:eastAsia="en-NZ"/>
              </w:rPr>
            </w:pPr>
            <w:r w:rsidRPr="00383CEB">
              <w:rPr>
                <w:rFonts w:ascii="Calibri" w:eastAsia="Times New Roman" w:hAnsi="Calibri" w:cs="Calibri"/>
                <w:color w:val="FF0000"/>
                <w:lang w:eastAsia="en-NZ"/>
              </w:rPr>
              <w:t>-2</w:t>
            </w:r>
          </w:p>
        </w:tc>
      </w:tr>
      <w:tr w:rsidR="00383CEB" w:rsidRPr="00383CEB" w14:paraId="41E751C0" w14:textId="77777777" w:rsidTr="00383CEB">
        <w:trPr>
          <w:trHeight w:val="290"/>
        </w:trPr>
        <w:tc>
          <w:tcPr>
            <w:tcW w:w="1636" w:type="dxa"/>
            <w:tcBorders>
              <w:top w:val="nil"/>
              <w:left w:val="nil"/>
              <w:bottom w:val="nil"/>
              <w:right w:val="nil"/>
            </w:tcBorders>
            <w:shd w:val="clear" w:color="auto" w:fill="auto"/>
            <w:noWrap/>
            <w:vAlign w:val="bottom"/>
            <w:hideMark/>
          </w:tcPr>
          <w:p w14:paraId="240C44B1" w14:textId="77777777" w:rsidR="00383CEB" w:rsidRPr="00383CEB" w:rsidRDefault="00383CEB" w:rsidP="00383CEB">
            <w:pPr>
              <w:spacing w:after="0" w:line="240" w:lineRule="auto"/>
              <w:rPr>
                <w:rFonts w:ascii="Calibri" w:eastAsia="Times New Roman" w:hAnsi="Calibri" w:cs="Calibri"/>
                <w:color w:val="000000"/>
                <w:lang w:eastAsia="en-NZ"/>
              </w:rPr>
            </w:pPr>
            <w:r w:rsidRPr="00383CEB">
              <w:rPr>
                <w:rFonts w:ascii="Calibri" w:eastAsia="Times New Roman" w:hAnsi="Calibri" w:cs="Calibri"/>
                <w:color w:val="000000"/>
                <w:lang w:eastAsia="en-NZ"/>
              </w:rPr>
              <w:t>Mexico</w:t>
            </w:r>
          </w:p>
        </w:tc>
        <w:tc>
          <w:tcPr>
            <w:tcW w:w="976" w:type="dxa"/>
            <w:tcBorders>
              <w:top w:val="nil"/>
              <w:left w:val="nil"/>
              <w:bottom w:val="nil"/>
              <w:right w:val="nil"/>
            </w:tcBorders>
            <w:shd w:val="clear" w:color="auto" w:fill="auto"/>
            <w:noWrap/>
            <w:vAlign w:val="bottom"/>
            <w:hideMark/>
          </w:tcPr>
          <w:p w14:paraId="05B40A41" w14:textId="77777777" w:rsidR="00383CEB" w:rsidRPr="00383CEB" w:rsidRDefault="00383CEB" w:rsidP="00383CEB">
            <w:pPr>
              <w:spacing w:after="0" w:line="240" w:lineRule="auto"/>
              <w:jc w:val="right"/>
              <w:rPr>
                <w:rFonts w:ascii="Calibri" w:eastAsia="Times New Roman" w:hAnsi="Calibri" w:cs="Calibri"/>
                <w:color w:val="000000"/>
                <w:lang w:eastAsia="en-NZ"/>
              </w:rPr>
            </w:pPr>
            <w:r w:rsidRPr="00383CEB">
              <w:rPr>
                <w:rFonts w:ascii="Calibri" w:eastAsia="Times New Roman" w:hAnsi="Calibri" w:cs="Calibri"/>
                <w:color w:val="000000"/>
                <w:lang w:eastAsia="en-NZ"/>
              </w:rPr>
              <w:t>50</w:t>
            </w:r>
          </w:p>
        </w:tc>
        <w:tc>
          <w:tcPr>
            <w:tcW w:w="976" w:type="dxa"/>
            <w:tcBorders>
              <w:top w:val="nil"/>
              <w:left w:val="nil"/>
              <w:bottom w:val="nil"/>
              <w:right w:val="nil"/>
            </w:tcBorders>
            <w:shd w:val="clear" w:color="auto" w:fill="auto"/>
            <w:noWrap/>
            <w:vAlign w:val="bottom"/>
            <w:hideMark/>
          </w:tcPr>
          <w:p w14:paraId="66FA0BD2" w14:textId="77777777" w:rsidR="00383CEB" w:rsidRPr="00383CEB" w:rsidRDefault="00383CEB" w:rsidP="00383CEB">
            <w:pPr>
              <w:spacing w:after="0" w:line="240" w:lineRule="auto"/>
              <w:jc w:val="right"/>
              <w:rPr>
                <w:rFonts w:ascii="Calibri" w:eastAsia="Times New Roman" w:hAnsi="Calibri" w:cs="Calibri"/>
                <w:color w:val="000000"/>
                <w:lang w:eastAsia="en-NZ"/>
              </w:rPr>
            </w:pPr>
            <w:r w:rsidRPr="00383CEB">
              <w:rPr>
                <w:rFonts w:ascii="Calibri" w:eastAsia="Times New Roman" w:hAnsi="Calibri" w:cs="Calibri"/>
                <w:color w:val="000000"/>
                <w:lang w:eastAsia="en-NZ"/>
              </w:rPr>
              <w:t>55</w:t>
            </w:r>
          </w:p>
        </w:tc>
        <w:tc>
          <w:tcPr>
            <w:tcW w:w="976" w:type="dxa"/>
            <w:tcBorders>
              <w:top w:val="nil"/>
              <w:left w:val="nil"/>
              <w:bottom w:val="nil"/>
              <w:right w:val="nil"/>
            </w:tcBorders>
            <w:shd w:val="clear" w:color="auto" w:fill="auto"/>
            <w:noWrap/>
            <w:vAlign w:val="bottom"/>
            <w:hideMark/>
          </w:tcPr>
          <w:p w14:paraId="21A45793" w14:textId="77777777" w:rsidR="00383CEB" w:rsidRPr="00383CEB" w:rsidRDefault="00383CEB" w:rsidP="00383CEB">
            <w:pPr>
              <w:spacing w:after="0" w:line="240" w:lineRule="auto"/>
              <w:jc w:val="right"/>
              <w:rPr>
                <w:rFonts w:ascii="Calibri" w:eastAsia="Times New Roman" w:hAnsi="Calibri" w:cs="Calibri"/>
                <w:color w:val="000000"/>
                <w:lang w:eastAsia="en-NZ"/>
              </w:rPr>
            </w:pPr>
            <w:r w:rsidRPr="00383CEB">
              <w:rPr>
                <w:rFonts w:ascii="Calibri" w:eastAsia="Times New Roman" w:hAnsi="Calibri" w:cs="Calibri"/>
                <w:color w:val="000000"/>
                <w:lang w:eastAsia="en-NZ"/>
              </w:rPr>
              <w:t>52</w:t>
            </w:r>
          </w:p>
        </w:tc>
        <w:tc>
          <w:tcPr>
            <w:tcW w:w="976" w:type="dxa"/>
            <w:tcBorders>
              <w:top w:val="nil"/>
              <w:left w:val="nil"/>
              <w:bottom w:val="nil"/>
              <w:right w:val="nil"/>
            </w:tcBorders>
            <w:shd w:val="clear" w:color="auto" w:fill="auto"/>
            <w:noWrap/>
            <w:vAlign w:val="bottom"/>
            <w:hideMark/>
          </w:tcPr>
          <w:p w14:paraId="38C0658A" w14:textId="77777777" w:rsidR="00383CEB" w:rsidRPr="00383CEB" w:rsidRDefault="00383CEB" w:rsidP="00383CEB">
            <w:pPr>
              <w:spacing w:after="0" w:line="240" w:lineRule="auto"/>
              <w:jc w:val="right"/>
              <w:rPr>
                <w:rFonts w:ascii="Calibri" w:eastAsia="Times New Roman" w:hAnsi="Calibri" w:cs="Calibri"/>
                <w:color w:val="000000"/>
                <w:lang w:eastAsia="en-NZ"/>
              </w:rPr>
            </w:pPr>
            <w:r w:rsidRPr="00383CEB">
              <w:rPr>
                <w:rFonts w:ascii="Calibri" w:eastAsia="Times New Roman" w:hAnsi="Calibri" w:cs="Calibri"/>
                <w:color w:val="000000"/>
                <w:lang w:eastAsia="en-NZ"/>
              </w:rPr>
              <w:t>61</w:t>
            </w:r>
          </w:p>
        </w:tc>
        <w:tc>
          <w:tcPr>
            <w:tcW w:w="976" w:type="dxa"/>
            <w:tcBorders>
              <w:top w:val="nil"/>
              <w:left w:val="nil"/>
              <w:bottom w:val="nil"/>
              <w:right w:val="nil"/>
            </w:tcBorders>
            <w:shd w:val="clear" w:color="auto" w:fill="auto"/>
            <w:noWrap/>
            <w:vAlign w:val="bottom"/>
            <w:hideMark/>
          </w:tcPr>
          <w:p w14:paraId="48042F61" w14:textId="77777777" w:rsidR="00383CEB" w:rsidRPr="00383CEB" w:rsidRDefault="00383CEB" w:rsidP="00383CEB">
            <w:pPr>
              <w:spacing w:after="0" w:line="240" w:lineRule="auto"/>
              <w:jc w:val="right"/>
              <w:rPr>
                <w:rFonts w:ascii="Calibri" w:eastAsia="Times New Roman" w:hAnsi="Calibri" w:cs="Calibri"/>
                <w:color w:val="000000"/>
                <w:lang w:eastAsia="en-NZ"/>
              </w:rPr>
            </w:pPr>
            <w:r w:rsidRPr="00383CEB">
              <w:rPr>
                <w:rFonts w:ascii="Calibri" w:eastAsia="Times New Roman" w:hAnsi="Calibri" w:cs="Calibri"/>
                <w:color w:val="000000"/>
                <w:lang w:eastAsia="en-NZ"/>
              </w:rPr>
              <w:t>66</w:t>
            </w:r>
          </w:p>
        </w:tc>
        <w:tc>
          <w:tcPr>
            <w:tcW w:w="976" w:type="dxa"/>
            <w:tcBorders>
              <w:top w:val="nil"/>
              <w:left w:val="nil"/>
              <w:bottom w:val="nil"/>
              <w:right w:val="nil"/>
            </w:tcBorders>
            <w:shd w:val="clear" w:color="auto" w:fill="auto"/>
            <w:noWrap/>
            <w:vAlign w:val="bottom"/>
            <w:hideMark/>
          </w:tcPr>
          <w:p w14:paraId="639A8AAE" w14:textId="77777777" w:rsidR="00383CEB" w:rsidRPr="00383CEB" w:rsidRDefault="00383CEB" w:rsidP="00383CEB">
            <w:pPr>
              <w:spacing w:after="0" w:line="240" w:lineRule="auto"/>
              <w:jc w:val="right"/>
              <w:rPr>
                <w:rFonts w:ascii="Calibri" w:eastAsia="Times New Roman" w:hAnsi="Calibri" w:cs="Calibri"/>
                <w:color w:val="000000"/>
                <w:lang w:eastAsia="en-NZ"/>
              </w:rPr>
            </w:pPr>
            <w:r w:rsidRPr="00383CEB">
              <w:rPr>
                <w:rFonts w:ascii="Calibri" w:eastAsia="Times New Roman" w:hAnsi="Calibri" w:cs="Calibri"/>
                <w:color w:val="000000"/>
                <w:lang w:eastAsia="en-NZ"/>
              </w:rPr>
              <w:t>79</w:t>
            </w:r>
          </w:p>
        </w:tc>
        <w:tc>
          <w:tcPr>
            <w:tcW w:w="1296" w:type="dxa"/>
            <w:tcBorders>
              <w:top w:val="nil"/>
              <w:left w:val="nil"/>
              <w:bottom w:val="nil"/>
              <w:right w:val="nil"/>
            </w:tcBorders>
            <w:shd w:val="clear" w:color="auto" w:fill="auto"/>
            <w:noWrap/>
            <w:vAlign w:val="bottom"/>
            <w:hideMark/>
          </w:tcPr>
          <w:p w14:paraId="3AC72B60" w14:textId="77777777" w:rsidR="00383CEB" w:rsidRPr="00383CEB" w:rsidRDefault="00383CEB" w:rsidP="00383CEB">
            <w:pPr>
              <w:spacing w:after="0" w:line="240" w:lineRule="auto"/>
              <w:jc w:val="right"/>
              <w:rPr>
                <w:rFonts w:ascii="Calibri" w:eastAsia="Times New Roman" w:hAnsi="Calibri" w:cs="Calibri"/>
                <w:color w:val="00B050"/>
                <w:lang w:eastAsia="en-NZ"/>
              </w:rPr>
            </w:pPr>
            <w:r w:rsidRPr="00383CEB">
              <w:rPr>
                <w:rFonts w:ascii="Calibri" w:eastAsia="Times New Roman" w:hAnsi="Calibri" w:cs="Calibri"/>
                <w:color w:val="00B050"/>
                <w:lang w:eastAsia="en-NZ"/>
              </w:rPr>
              <w:t>29</w:t>
            </w:r>
          </w:p>
        </w:tc>
        <w:tc>
          <w:tcPr>
            <w:tcW w:w="1256" w:type="dxa"/>
            <w:tcBorders>
              <w:top w:val="nil"/>
              <w:left w:val="nil"/>
              <w:bottom w:val="nil"/>
              <w:right w:val="nil"/>
            </w:tcBorders>
            <w:shd w:val="clear" w:color="auto" w:fill="auto"/>
            <w:noWrap/>
            <w:vAlign w:val="bottom"/>
            <w:hideMark/>
          </w:tcPr>
          <w:p w14:paraId="05D7C683" w14:textId="77777777" w:rsidR="00383CEB" w:rsidRPr="00383CEB" w:rsidRDefault="00383CEB" w:rsidP="00383CEB">
            <w:pPr>
              <w:spacing w:after="0" w:line="240" w:lineRule="auto"/>
              <w:jc w:val="right"/>
              <w:rPr>
                <w:rFonts w:ascii="Calibri" w:eastAsia="Times New Roman" w:hAnsi="Calibri" w:cs="Calibri"/>
                <w:color w:val="00B050"/>
                <w:lang w:eastAsia="en-NZ"/>
              </w:rPr>
            </w:pPr>
            <w:r w:rsidRPr="00383CEB">
              <w:rPr>
                <w:rFonts w:ascii="Calibri" w:eastAsia="Times New Roman" w:hAnsi="Calibri" w:cs="Calibri"/>
                <w:color w:val="00B050"/>
                <w:lang w:eastAsia="en-NZ"/>
              </w:rPr>
              <w:t>13</w:t>
            </w:r>
          </w:p>
        </w:tc>
      </w:tr>
      <w:tr w:rsidR="00383CEB" w:rsidRPr="00383CEB" w14:paraId="658F1503" w14:textId="77777777" w:rsidTr="00383CEB">
        <w:trPr>
          <w:trHeight w:val="290"/>
        </w:trPr>
        <w:tc>
          <w:tcPr>
            <w:tcW w:w="1636" w:type="dxa"/>
            <w:tcBorders>
              <w:top w:val="nil"/>
              <w:left w:val="nil"/>
              <w:bottom w:val="nil"/>
              <w:right w:val="nil"/>
            </w:tcBorders>
            <w:shd w:val="clear" w:color="auto" w:fill="auto"/>
            <w:noWrap/>
            <w:vAlign w:val="bottom"/>
            <w:hideMark/>
          </w:tcPr>
          <w:p w14:paraId="62381B7F" w14:textId="77777777" w:rsidR="00383CEB" w:rsidRPr="00383CEB" w:rsidRDefault="00383CEB" w:rsidP="00383CEB">
            <w:pPr>
              <w:spacing w:after="0" w:line="240" w:lineRule="auto"/>
              <w:rPr>
                <w:rFonts w:ascii="Calibri" w:eastAsia="Times New Roman" w:hAnsi="Calibri" w:cs="Calibri"/>
                <w:color w:val="000000"/>
                <w:lang w:eastAsia="en-NZ"/>
              </w:rPr>
            </w:pPr>
            <w:r w:rsidRPr="00383CEB">
              <w:rPr>
                <w:rFonts w:ascii="Calibri" w:eastAsia="Times New Roman" w:hAnsi="Calibri" w:cs="Calibri"/>
                <w:color w:val="000000"/>
                <w:lang w:eastAsia="en-NZ"/>
              </w:rPr>
              <w:t>Nigeria</w:t>
            </w:r>
          </w:p>
        </w:tc>
        <w:tc>
          <w:tcPr>
            <w:tcW w:w="976" w:type="dxa"/>
            <w:tcBorders>
              <w:top w:val="nil"/>
              <w:left w:val="nil"/>
              <w:bottom w:val="nil"/>
              <w:right w:val="nil"/>
            </w:tcBorders>
            <w:shd w:val="clear" w:color="auto" w:fill="auto"/>
            <w:noWrap/>
            <w:vAlign w:val="bottom"/>
            <w:hideMark/>
          </w:tcPr>
          <w:p w14:paraId="1D83D4CB" w14:textId="77777777" w:rsidR="00383CEB" w:rsidRPr="00383CEB" w:rsidRDefault="00383CEB" w:rsidP="00383CEB">
            <w:pPr>
              <w:spacing w:after="0" w:line="240" w:lineRule="auto"/>
              <w:jc w:val="right"/>
              <w:rPr>
                <w:rFonts w:ascii="Calibri" w:eastAsia="Times New Roman" w:hAnsi="Calibri" w:cs="Calibri"/>
                <w:color w:val="000000"/>
                <w:lang w:eastAsia="en-NZ"/>
              </w:rPr>
            </w:pPr>
            <w:r w:rsidRPr="00383CEB">
              <w:rPr>
                <w:rFonts w:ascii="Calibri" w:eastAsia="Times New Roman" w:hAnsi="Calibri" w:cs="Calibri"/>
                <w:color w:val="000000"/>
                <w:lang w:eastAsia="en-NZ"/>
              </w:rPr>
              <w:t>20</w:t>
            </w:r>
          </w:p>
        </w:tc>
        <w:tc>
          <w:tcPr>
            <w:tcW w:w="976" w:type="dxa"/>
            <w:tcBorders>
              <w:top w:val="nil"/>
              <w:left w:val="nil"/>
              <w:bottom w:val="nil"/>
              <w:right w:val="nil"/>
            </w:tcBorders>
            <w:shd w:val="clear" w:color="auto" w:fill="auto"/>
            <w:noWrap/>
            <w:vAlign w:val="bottom"/>
            <w:hideMark/>
          </w:tcPr>
          <w:p w14:paraId="65873AAC" w14:textId="77777777" w:rsidR="00383CEB" w:rsidRPr="00383CEB" w:rsidRDefault="00383CEB" w:rsidP="00383CEB">
            <w:pPr>
              <w:spacing w:after="0" w:line="240" w:lineRule="auto"/>
              <w:jc w:val="right"/>
              <w:rPr>
                <w:rFonts w:ascii="Calibri" w:eastAsia="Times New Roman" w:hAnsi="Calibri" w:cs="Calibri"/>
                <w:color w:val="000000"/>
                <w:lang w:eastAsia="en-NZ"/>
              </w:rPr>
            </w:pPr>
            <w:r w:rsidRPr="00383CEB">
              <w:rPr>
                <w:rFonts w:ascii="Calibri" w:eastAsia="Times New Roman" w:hAnsi="Calibri" w:cs="Calibri"/>
                <w:color w:val="000000"/>
                <w:lang w:eastAsia="en-NZ"/>
              </w:rPr>
              <w:t>19</w:t>
            </w:r>
          </w:p>
        </w:tc>
        <w:tc>
          <w:tcPr>
            <w:tcW w:w="976" w:type="dxa"/>
            <w:tcBorders>
              <w:top w:val="nil"/>
              <w:left w:val="nil"/>
              <w:bottom w:val="nil"/>
              <w:right w:val="nil"/>
            </w:tcBorders>
            <w:shd w:val="clear" w:color="auto" w:fill="auto"/>
            <w:noWrap/>
            <w:vAlign w:val="bottom"/>
            <w:hideMark/>
          </w:tcPr>
          <w:p w14:paraId="0FE2CAE7" w14:textId="77777777" w:rsidR="00383CEB" w:rsidRPr="00383CEB" w:rsidRDefault="00383CEB" w:rsidP="00383CEB">
            <w:pPr>
              <w:spacing w:after="0" w:line="240" w:lineRule="auto"/>
              <w:jc w:val="right"/>
              <w:rPr>
                <w:rFonts w:ascii="Calibri" w:eastAsia="Times New Roman" w:hAnsi="Calibri" w:cs="Calibri"/>
                <w:color w:val="000000"/>
                <w:lang w:eastAsia="en-NZ"/>
              </w:rPr>
            </w:pPr>
            <w:r w:rsidRPr="00383CEB">
              <w:rPr>
                <w:rFonts w:ascii="Calibri" w:eastAsia="Times New Roman" w:hAnsi="Calibri" w:cs="Calibri"/>
                <w:color w:val="000000"/>
                <w:lang w:eastAsia="en-NZ"/>
              </w:rPr>
              <w:t>18</w:t>
            </w:r>
          </w:p>
        </w:tc>
        <w:tc>
          <w:tcPr>
            <w:tcW w:w="976" w:type="dxa"/>
            <w:tcBorders>
              <w:top w:val="nil"/>
              <w:left w:val="nil"/>
              <w:bottom w:val="nil"/>
              <w:right w:val="nil"/>
            </w:tcBorders>
            <w:shd w:val="clear" w:color="auto" w:fill="auto"/>
            <w:noWrap/>
            <w:vAlign w:val="bottom"/>
            <w:hideMark/>
          </w:tcPr>
          <w:p w14:paraId="0A8EC169" w14:textId="77777777" w:rsidR="00383CEB" w:rsidRPr="00383CEB" w:rsidRDefault="00383CEB" w:rsidP="00383CEB">
            <w:pPr>
              <w:spacing w:after="0" w:line="240" w:lineRule="auto"/>
              <w:jc w:val="right"/>
              <w:rPr>
                <w:rFonts w:ascii="Calibri" w:eastAsia="Times New Roman" w:hAnsi="Calibri" w:cs="Calibri"/>
                <w:color w:val="000000"/>
                <w:lang w:eastAsia="en-NZ"/>
              </w:rPr>
            </w:pPr>
            <w:r w:rsidRPr="00383CEB">
              <w:rPr>
                <w:rFonts w:ascii="Calibri" w:eastAsia="Times New Roman" w:hAnsi="Calibri" w:cs="Calibri"/>
                <w:color w:val="000000"/>
                <w:lang w:eastAsia="en-NZ"/>
              </w:rPr>
              <w:t>16</w:t>
            </w:r>
          </w:p>
        </w:tc>
        <w:tc>
          <w:tcPr>
            <w:tcW w:w="976" w:type="dxa"/>
            <w:tcBorders>
              <w:top w:val="nil"/>
              <w:left w:val="nil"/>
              <w:bottom w:val="nil"/>
              <w:right w:val="nil"/>
            </w:tcBorders>
            <w:shd w:val="clear" w:color="auto" w:fill="auto"/>
            <w:noWrap/>
            <w:vAlign w:val="bottom"/>
            <w:hideMark/>
          </w:tcPr>
          <w:p w14:paraId="219E832E" w14:textId="77777777" w:rsidR="00383CEB" w:rsidRPr="00383CEB" w:rsidRDefault="00383CEB" w:rsidP="00383CEB">
            <w:pPr>
              <w:spacing w:after="0" w:line="240" w:lineRule="auto"/>
              <w:jc w:val="right"/>
              <w:rPr>
                <w:rFonts w:ascii="Calibri" w:eastAsia="Times New Roman" w:hAnsi="Calibri" w:cs="Calibri"/>
                <w:color w:val="000000"/>
                <w:lang w:eastAsia="en-NZ"/>
              </w:rPr>
            </w:pPr>
            <w:r w:rsidRPr="00383CEB">
              <w:rPr>
                <w:rFonts w:ascii="Calibri" w:eastAsia="Times New Roman" w:hAnsi="Calibri" w:cs="Calibri"/>
                <w:color w:val="000000"/>
                <w:lang w:eastAsia="en-NZ"/>
              </w:rPr>
              <w:t>24</w:t>
            </w:r>
          </w:p>
        </w:tc>
        <w:tc>
          <w:tcPr>
            <w:tcW w:w="976" w:type="dxa"/>
            <w:tcBorders>
              <w:top w:val="nil"/>
              <w:left w:val="nil"/>
              <w:bottom w:val="nil"/>
              <w:right w:val="nil"/>
            </w:tcBorders>
            <w:shd w:val="clear" w:color="auto" w:fill="auto"/>
            <w:noWrap/>
            <w:vAlign w:val="bottom"/>
            <w:hideMark/>
          </w:tcPr>
          <w:p w14:paraId="591B51BA" w14:textId="77777777" w:rsidR="00383CEB" w:rsidRPr="00383CEB" w:rsidRDefault="00383CEB" w:rsidP="00383CEB">
            <w:pPr>
              <w:spacing w:after="0" w:line="240" w:lineRule="auto"/>
              <w:jc w:val="right"/>
              <w:rPr>
                <w:rFonts w:ascii="Calibri" w:eastAsia="Times New Roman" w:hAnsi="Calibri" w:cs="Calibri"/>
                <w:color w:val="000000"/>
                <w:lang w:eastAsia="en-NZ"/>
              </w:rPr>
            </w:pPr>
            <w:r w:rsidRPr="00383CEB">
              <w:rPr>
                <w:rFonts w:ascii="Calibri" w:eastAsia="Times New Roman" w:hAnsi="Calibri" w:cs="Calibri"/>
                <w:color w:val="000000"/>
                <w:lang w:eastAsia="en-NZ"/>
              </w:rPr>
              <w:t>17</w:t>
            </w:r>
          </w:p>
        </w:tc>
        <w:tc>
          <w:tcPr>
            <w:tcW w:w="1296" w:type="dxa"/>
            <w:tcBorders>
              <w:top w:val="nil"/>
              <w:left w:val="nil"/>
              <w:bottom w:val="nil"/>
              <w:right w:val="nil"/>
            </w:tcBorders>
            <w:shd w:val="clear" w:color="auto" w:fill="auto"/>
            <w:noWrap/>
            <w:vAlign w:val="bottom"/>
            <w:hideMark/>
          </w:tcPr>
          <w:p w14:paraId="081B3A7E" w14:textId="77777777" w:rsidR="00383CEB" w:rsidRPr="00383CEB" w:rsidRDefault="00383CEB" w:rsidP="00383CEB">
            <w:pPr>
              <w:spacing w:after="0" w:line="240" w:lineRule="auto"/>
              <w:jc w:val="right"/>
              <w:rPr>
                <w:rFonts w:ascii="Calibri" w:eastAsia="Times New Roman" w:hAnsi="Calibri" w:cs="Calibri"/>
                <w:color w:val="FF0000"/>
                <w:lang w:eastAsia="en-NZ"/>
              </w:rPr>
            </w:pPr>
            <w:r w:rsidRPr="00383CEB">
              <w:rPr>
                <w:rFonts w:ascii="Calibri" w:eastAsia="Times New Roman" w:hAnsi="Calibri" w:cs="Calibri"/>
                <w:color w:val="FF0000"/>
                <w:lang w:eastAsia="en-NZ"/>
              </w:rPr>
              <w:t>-3</w:t>
            </w:r>
          </w:p>
        </w:tc>
        <w:tc>
          <w:tcPr>
            <w:tcW w:w="1256" w:type="dxa"/>
            <w:tcBorders>
              <w:top w:val="nil"/>
              <w:left w:val="nil"/>
              <w:bottom w:val="nil"/>
              <w:right w:val="nil"/>
            </w:tcBorders>
            <w:shd w:val="clear" w:color="auto" w:fill="auto"/>
            <w:noWrap/>
            <w:vAlign w:val="bottom"/>
            <w:hideMark/>
          </w:tcPr>
          <w:p w14:paraId="179FB929" w14:textId="77777777" w:rsidR="00383CEB" w:rsidRPr="00383CEB" w:rsidRDefault="00383CEB" w:rsidP="00383CEB">
            <w:pPr>
              <w:spacing w:after="0" w:line="240" w:lineRule="auto"/>
              <w:jc w:val="right"/>
              <w:rPr>
                <w:rFonts w:ascii="Calibri" w:eastAsia="Times New Roman" w:hAnsi="Calibri" w:cs="Calibri"/>
                <w:color w:val="FF0000"/>
                <w:lang w:eastAsia="en-NZ"/>
              </w:rPr>
            </w:pPr>
            <w:r w:rsidRPr="00383CEB">
              <w:rPr>
                <w:rFonts w:ascii="Calibri" w:eastAsia="Times New Roman" w:hAnsi="Calibri" w:cs="Calibri"/>
                <w:color w:val="FF0000"/>
                <w:lang w:eastAsia="en-NZ"/>
              </w:rPr>
              <w:t>-7</w:t>
            </w:r>
          </w:p>
        </w:tc>
      </w:tr>
      <w:tr w:rsidR="00383CEB" w:rsidRPr="00383CEB" w14:paraId="4C95E9AD" w14:textId="77777777" w:rsidTr="00383CEB">
        <w:trPr>
          <w:trHeight w:val="290"/>
        </w:trPr>
        <w:tc>
          <w:tcPr>
            <w:tcW w:w="1636" w:type="dxa"/>
            <w:tcBorders>
              <w:top w:val="nil"/>
              <w:left w:val="nil"/>
              <w:bottom w:val="nil"/>
              <w:right w:val="nil"/>
            </w:tcBorders>
            <w:shd w:val="clear" w:color="auto" w:fill="auto"/>
            <w:noWrap/>
            <w:vAlign w:val="bottom"/>
            <w:hideMark/>
          </w:tcPr>
          <w:p w14:paraId="3D25F9FE" w14:textId="77777777" w:rsidR="00383CEB" w:rsidRPr="00383CEB" w:rsidRDefault="00383CEB" w:rsidP="00383CEB">
            <w:pPr>
              <w:spacing w:after="0" w:line="240" w:lineRule="auto"/>
              <w:rPr>
                <w:rFonts w:ascii="Calibri" w:eastAsia="Times New Roman" w:hAnsi="Calibri" w:cs="Calibri"/>
                <w:color w:val="000000"/>
                <w:lang w:eastAsia="en-NZ"/>
              </w:rPr>
            </w:pPr>
            <w:r w:rsidRPr="00383CEB">
              <w:rPr>
                <w:rFonts w:ascii="Calibri" w:eastAsia="Times New Roman" w:hAnsi="Calibri" w:cs="Calibri"/>
                <w:color w:val="000000"/>
                <w:lang w:eastAsia="en-NZ"/>
              </w:rPr>
              <w:t>Paraguay</w:t>
            </w:r>
          </w:p>
        </w:tc>
        <w:tc>
          <w:tcPr>
            <w:tcW w:w="976" w:type="dxa"/>
            <w:tcBorders>
              <w:top w:val="nil"/>
              <w:left w:val="nil"/>
              <w:bottom w:val="nil"/>
              <w:right w:val="nil"/>
            </w:tcBorders>
            <w:shd w:val="clear" w:color="auto" w:fill="auto"/>
            <w:noWrap/>
            <w:vAlign w:val="bottom"/>
            <w:hideMark/>
          </w:tcPr>
          <w:p w14:paraId="74F4604F" w14:textId="77777777" w:rsidR="00383CEB" w:rsidRPr="00383CEB" w:rsidRDefault="00383CEB" w:rsidP="00383CEB">
            <w:pPr>
              <w:spacing w:after="0" w:line="240" w:lineRule="auto"/>
              <w:rPr>
                <w:rFonts w:ascii="Calibri" w:eastAsia="Times New Roman" w:hAnsi="Calibri" w:cs="Calibri"/>
                <w:color w:val="000000"/>
                <w:lang w:eastAsia="en-NZ"/>
              </w:rPr>
            </w:pPr>
          </w:p>
        </w:tc>
        <w:tc>
          <w:tcPr>
            <w:tcW w:w="976" w:type="dxa"/>
            <w:tcBorders>
              <w:top w:val="nil"/>
              <w:left w:val="nil"/>
              <w:bottom w:val="nil"/>
              <w:right w:val="nil"/>
            </w:tcBorders>
            <w:shd w:val="clear" w:color="auto" w:fill="auto"/>
            <w:noWrap/>
            <w:vAlign w:val="bottom"/>
            <w:hideMark/>
          </w:tcPr>
          <w:p w14:paraId="5E1FAB23" w14:textId="77777777" w:rsidR="00383CEB" w:rsidRPr="00383CEB" w:rsidRDefault="00383CEB" w:rsidP="00383CEB">
            <w:pPr>
              <w:spacing w:after="0" w:line="240" w:lineRule="auto"/>
              <w:rPr>
                <w:rFonts w:ascii="Times New Roman" w:eastAsia="Times New Roman" w:hAnsi="Times New Roman" w:cs="Times New Roman"/>
                <w:sz w:val="20"/>
                <w:szCs w:val="20"/>
                <w:lang w:eastAsia="en-NZ"/>
              </w:rPr>
            </w:pPr>
          </w:p>
        </w:tc>
        <w:tc>
          <w:tcPr>
            <w:tcW w:w="976" w:type="dxa"/>
            <w:tcBorders>
              <w:top w:val="nil"/>
              <w:left w:val="nil"/>
              <w:bottom w:val="nil"/>
              <w:right w:val="nil"/>
            </w:tcBorders>
            <w:shd w:val="clear" w:color="auto" w:fill="auto"/>
            <w:noWrap/>
            <w:vAlign w:val="bottom"/>
            <w:hideMark/>
          </w:tcPr>
          <w:p w14:paraId="7FF5420A" w14:textId="77777777" w:rsidR="00383CEB" w:rsidRPr="00383CEB" w:rsidRDefault="00383CEB" w:rsidP="00383CEB">
            <w:pPr>
              <w:spacing w:after="0" w:line="240" w:lineRule="auto"/>
              <w:rPr>
                <w:rFonts w:ascii="Times New Roman" w:eastAsia="Times New Roman" w:hAnsi="Times New Roman" w:cs="Times New Roman"/>
                <w:sz w:val="20"/>
                <w:szCs w:val="20"/>
                <w:lang w:eastAsia="en-NZ"/>
              </w:rPr>
            </w:pPr>
          </w:p>
        </w:tc>
        <w:tc>
          <w:tcPr>
            <w:tcW w:w="976" w:type="dxa"/>
            <w:tcBorders>
              <w:top w:val="nil"/>
              <w:left w:val="nil"/>
              <w:bottom w:val="nil"/>
              <w:right w:val="nil"/>
            </w:tcBorders>
            <w:shd w:val="clear" w:color="auto" w:fill="auto"/>
            <w:noWrap/>
            <w:vAlign w:val="bottom"/>
            <w:hideMark/>
          </w:tcPr>
          <w:p w14:paraId="7EF38226" w14:textId="77777777" w:rsidR="00383CEB" w:rsidRPr="00383CEB" w:rsidRDefault="00383CEB" w:rsidP="00383CEB">
            <w:pPr>
              <w:spacing w:after="0" w:line="240" w:lineRule="auto"/>
              <w:rPr>
                <w:rFonts w:ascii="Times New Roman" w:eastAsia="Times New Roman" w:hAnsi="Times New Roman" w:cs="Times New Roman"/>
                <w:sz w:val="20"/>
                <w:szCs w:val="20"/>
                <w:lang w:eastAsia="en-NZ"/>
              </w:rPr>
            </w:pPr>
          </w:p>
        </w:tc>
        <w:tc>
          <w:tcPr>
            <w:tcW w:w="976" w:type="dxa"/>
            <w:tcBorders>
              <w:top w:val="nil"/>
              <w:left w:val="nil"/>
              <w:bottom w:val="nil"/>
              <w:right w:val="nil"/>
            </w:tcBorders>
            <w:shd w:val="clear" w:color="auto" w:fill="auto"/>
            <w:noWrap/>
            <w:vAlign w:val="bottom"/>
            <w:hideMark/>
          </w:tcPr>
          <w:p w14:paraId="5ED4EA35" w14:textId="77777777" w:rsidR="00383CEB" w:rsidRPr="00383CEB" w:rsidRDefault="00383CEB" w:rsidP="00383CEB">
            <w:pPr>
              <w:spacing w:after="0" w:line="240" w:lineRule="auto"/>
              <w:rPr>
                <w:rFonts w:ascii="Times New Roman" w:eastAsia="Times New Roman" w:hAnsi="Times New Roman" w:cs="Times New Roman"/>
                <w:sz w:val="20"/>
                <w:szCs w:val="20"/>
                <w:lang w:eastAsia="en-NZ"/>
              </w:rPr>
            </w:pPr>
          </w:p>
        </w:tc>
        <w:tc>
          <w:tcPr>
            <w:tcW w:w="976" w:type="dxa"/>
            <w:tcBorders>
              <w:top w:val="nil"/>
              <w:left w:val="nil"/>
              <w:bottom w:val="nil"/>
              <w:right w:val="nil"/>
            </w:tcBorders>
            <w:shd w:val="clear" w:color="auto" w:fill="auto"/>
            <w:noWrap/>
            <w:vAlign w:val="bottom"/>
            <w:hideMark/>
          </w:tcPr>
          <w:p w14:paraId="2929DD94" w14:textId="77777777" w:rsidR="00383CEB" w:rsidRPr="00383CEB" w:rsidRDefault="00383CEB" w:rsidP="00383CEB">
            <w:pPr>
              <w:spacing w:after="0" w:line="240" w:lineRule="auto"/>
              <w:jc w:val="right"/>
              <w:rPr>
                <w:rFonts w:ascii="Calibri" w:eastAsia="Times New Roman" w:hAnsi="Calibri" w:cs="Calibri"/>
                <w:color w:val="000000"/>
                <w:lang w:eastAsia="en-NZ"/>
              </w:rPr>
            </w:pPr>
            <w:r w:rsidRPr="00383CEB">
              <w:rPr>
                <w:rFonts w:ascii="Calibri" w:eastAsia="Times New Roman" w:hAnsi="Calibri" w:cs="Calibri"/>
                <w:color w:val="000000"/>
                <w:lang w:eastAsia="en-NZ"/>
              </w:rPr>
              <w:t>43</w:t>
            </w:r>
          </w:p>
        </w:tc>
        <w:tc>
          <w:tcPr>
            <w:tcW w:w="1296" w:type="dxa"/>
            <w:tcBorders>
              <w:top w:val="nil"/>
              <w:left w:val="nil"/>
              <w:bottom w:val="nil"/>
              <w:right w:val="nil"/>
            </w:tcBorders>
            <w:shd w:val="clear" w:color="auto" w:fill="auto"/>
            <w:noWrap/>
            <w:vAlign w:val="bottom"/>
            <w:hideMark/>
          </w:tcPr>
          <w:p w14:paraId="462646F0" w14:textId="77777777" w:rsidR="00383CEB" w:rsidRPr="00383CEB" w:rsidRDefault="00383CEB" w:rsidP="00383CEB">
            <w:pPr>
              <w:spacing w:after="0" w:line="240" w:lineRule="auto"/>
              <w:jc w:val="right"/>
              <w:rPr>
                <w:rFonts w:ascii="Calibri" w:eastAsia="Times New Roman" w:hAnsi="Calibri" w:cs="Calibri"/>
                <w:color w:val="000000"/>
                <w:lang w:eastAsia="en-NZ"/>
              </w:rPr>
            </w:pPr>
          </w:p>
        </w:tc>
        <w:tc>
          <w:tcPr>
            <w:tcW w:w="1256" w:type="dxa"/>
            <w:tcBorders>
              <w:top w:val="nil"/>
              <w:left w:val="nil"/>
              <w:bottom w:val="nil"/>
              <w:right w:val="nil"/>
            </w:tcBorders>
            <w:shd w:val="clear" w:color="auto" w:fill="auto"/>
            <w:noWrap/>
            <w:vAlign w:val="bottom"/>
            <w:hideMark/>
          </w:tcPr>
          <w:p w14:paraId="457C4CAA" w14:textId="77777777" w:rsidR="00383CEB" w:rsidRPr="00383CEB" w:rsidRDefault="00383CEB" w:rsidP="00383CEB">
            <w:pPr>
              <w:spacing w:after="0" w:line="240" w:lineRule="auto"/>
              <w:rPr>
                <w:rFonts w:ascii="Times New Roman" w:eastAsia="Times New Roman" w:hAnsi="Times New Roman" w:cs="Times New Roman"/>
                <w:sz w:val="20"/>
                <w:szCs w:val="20"/>
                <w:lang w:eastAsia="en-NZ"/>
              </w:rPr>
            </w:pPr>
          </w:p>
        </w:tc>
      </w:tr>
      <w:tr w:rsidR="00383CEB" w:rsidRPr="00383CEB" w14:paraId="2190541C" w14:textId="77777777" w:rsidTr="00383CEB">
        <w:trPr>
          <w:trHeight w:val="290"/>
        </w:trPr>
        <w:tc>
          <w:tcPr>
            <w:tcW w:w="1636" w:type="dxa"/>
            <w:tcBorders>
              <w:top w:val="nil"/>
              <w:left w:val="nil"/>
              <w:bottom w:val="nil"/>
              <w:right w:val="nil"/>
            </w:tcBorders>
            <w:shd w:val="clear" w:color="auto" w:fill="auto"/>
            <w:noWrap/>
            <w:vAlign w:val="bottom"/>
            <w:hideMark/>
          </w:tcPr>
          <w:p w14:paraId="2E327C79" w14:textId="77777777" w:rsidR="00383CEB" w:rsidRPr="00383CEB" w:rsidRDefault="00383CEB" w:rsidP="00383CEB">
            <w:pPr>
              <w:spacing w:after="0" w:line="240" w:lineRule="auto"/>
              <w:rPr>
                <w:rFonts w:ascii="Calibri" w:eastAsia="Times New Roman" w:hAnsi="Calibri" w:cs="Calibri"/>
                <w:color w:val="000000"/>
                <w:lang w:eastAsia="en-NZ"/>
              </w:rPr>
            </w:pPr>
            <w:r w:rsidRPr="00383CEB">
              <w:rPr>
                <w:rFonts w:ascii="Calibri" w:eastAsia="Times New Roman" w:hAnsi="Calibri" w:cs="Calibri"/>
                <w:color w:val="000000"/>
                <w:lang w:eastAsia="en-NZ"/>
              </w:rPr>
              <w:t>Philippines</w:t>
            </w:r>
          </w:p>
        </w:tc>
        <w:tc>
          <w:tcPr>
            <w:tcW w:w="976" w:type="dxa"/>
            <w:tcBorders>
              <w:top w:val="nil"/>
              <w:left w:val="nil"/>
              <w:bottom w:val="nil"/>
              <w:right w:val="nil"/>
            </w:tcBorders>
            <w:shd w:val="clear" w:color="auto" w:fill="auto"/>
            <w:noWrap/>
            <w:vAlign w:val="bottom"/>
            <w:hideMark/>
          </w:tcPr>
          <w:p w14:paraId="61DDF3A3" w14:textId="77777777" w:rsidR="00383CEB" w:rsidRPr="00383CEB" w:rsidRDefault="00383CEB" w:rsidP="00383CEB">
            <w:pPr>
              <w:spacing w:after="0" w:line="240" w:lineRule="auto"/>
              <w:jc w:val="right"/>
              <w:rPr>
                <w:rFonts w:ascii="Calibri" w:eastAsia="Times New Roman" w:hAnsi="Calibri" w:cs="Calibri"/>
                <w:color w:val="000000"/>
                <w:lang w:eastAsia="en-NZ"/>
              </w:rPr>
            </w:pPr>
            <w:r w:rsidRPr="00383CEB">
              <w:rPr>
                <w:rFonts w:ascii="Calibri" w:eastAsia="Times New Roman" w:hAnsi="Calibri" w:cs="Calibri"/>
                <w:color w:val="000000"/>
                <w:lang w:eastAsia="en-NZ"/>
              </w:rPr>
              <w:t>51</w:t>
            </w:r>
          </w:p>
        </w:tc>
        <w:tc>
          <w:tcPr>
            <w:tcW w:w="976" w:type="dxa"/>
            <w:tcBorders>
              <w:top w:val="nil"/>
              <w:left w:val="nil"/>
              <w:bottom w:val="nil"/>
              <w:right w:val="nil"/>
            </w:tcBorders>
            <w:shd w:val="clear" w:color="auto" w:fill="auto"/>
            <w:noWrap/>
            <w:vAlign w:val="bottom"/>
            <w:hideMark/>
          </w:tcPr>
          <w:p w14:paraId="1AD8B193" w14:textId="77777777" w:rsidR="00383CEB" w:rsidRPr="00383CEB" w:rsidRDefault="00383CEB" w:rsidP="00383CEB">
            <w:pPr>
              <w:spacing w:after="0" w:line="240" w:lineRule="auto"/>
              <w:jc w:val="right"/>
              <w:rPr>
                <w:rFonts w:ascii="Calibri" w:eastAsia="Times New Roman" w:hAnsi="Calibri" w:cs="Calibri"/>
                <w:color w:val="000000"/>
                <w:lang w:eastAsia="en-NZ"/>
              </w:rPr>
            </w:pPr>
            <w:r w:rsidRPr="00383CEB">
              <w:rPr>
                <w:rFonts w:ascii="Calibri" w:eastAsia="Times New Roman" w:hAnsi="Calibri" w:cs="Calibri"/>
                <w:color w:val="000000"/>
                <w:lang w:eastAsia="en-NZ"/>
              </w:rPr>
              <w:t>48</w:t>
            </w:r>
          </w:p>
        </w:tc>
        <w:tc>
          <w:tcPr>
            <w:tcW w:w="976" w:type="dxa"/>
            <w:tcBorders>
              <w:top w:val="nil"/>
              <w:left w:val="nil"/>
              <w:bottom w:val="nil"/>
              <w:right w:val="nil"/>
            </w:tcBorders>
            <w:shd w:val="clear" w:color="auto" w:fill="auto"/>
            <w:noWrap/>
            <w:vAlign w:val="bottom"/>
            <w:hideMark/>
          </w:tcPr>
          <w:p w14:paraId="06210376" w14:textId="77777777" w:rsidR="00383CEB" w:rsidRPr="00383CEB" w:rsidRDefault="00383CEB" w:rsidP="00383CEB">
            <w:pPr>
              <w:spacing w:after="0" w:line="240" w:lineRule="auto"/>
              <w:jc w:val="right"/>
              <w:rPr>
                <w:rFonts w:ascii="Calibri" w:eastAsia="Times New Roman" w:hAnsi="Calibri" w:cs="Calibri"/>
                <w:color w:val="000000"/>
                <w:lang w:eastAsia="en-NZ"/>
              </w:rPr>
            </w:pPr>
            <w:r w:rsidRPr="00383CEB">
              <w:rPr>
                <w:rFonts w:ascii="Calibri" w:eastAsia="Times New Roman" w:hAnsi="Calibri" w:cs="Calibri"/>
                <w:color w:val="000000"/>
                <w:lang w:eastAsia="en-NZ"/>
              </w:rPr>
              <w:t>55</w:t>
            </w:r>
          </w:p>
        </w:tc>
        <w:tc>
          <w:tcPr>
            <w:tcW w:w="976" w:type="dxa"/>
            <w:tcBorders>
              <w:top w:val="nil"/>
              <w:left w:val="nil"/>
              <w:bottom w:val="nil"/>
              <w:right w:val="nil"/>
            </w:tcBorders>
            <w:shd w:val="clear" w:color="auto" w:fill="auto"/>
            <w:noWrap/>
            <w:vAlign w:val="bottom"/>
            <w:hideMark/>
          </w:tcPr>
          <w:p w14:paraId="3B8E7C0A" w14:textId="77777777" w:rsidR="00383CEB" w:rsidRPr="00383CEB" w:rsidRDefault="00383CEB" w:rsidP="00383CEB">
            <w:pPr>
              <w:spacing w:after="0" w:line="240" w:lineRule="auto"/>
              <w:jc w:val="right"/>
              <w:rPr>
                <w:rFonts w:ascii="Calibri" w:eastAsia="Times New Roman" w:hAnsi="Calibri" w:cs="Calibri"/>
                <w:color w:val="000000"/>
                <w:lang w:eastAsia="en-NZ"/>
              </w:rPr>
            </w:pPr>
            <w:r w:rsidRPr="00383CEB">
              <w:rPr>
                <w:rFonts w:ascii="Calibri" w:eastAsia="Times New Roman" w:hAnsi="Calibri" w:cs="Calibri"/>
                <w:color w:val="000000"/>
                <w:lang w:eastAsia="en-NZ"/>
              </w:rPr>
              <w:t>48</w:t>
            </w:r>
          </w:p>
        </w:tc>
        <w:tc>
          <w:tcPr>
            <w:tcW w:w="976" w:type="dxa"/>
            <w:tcBorders>
              <w:top w:val="nil"/>
              <w:left w:val="nil"/>
              <w:bottom w:val="nil"/>
              <w:right w:val="nil"/>
            </w:tcBorders>
            <w:shd w:val="clear" w:color="auto" w:fill="auto"/>
            <w:noWrap/>
            <w:vAlign w:val="bottom"/>
            <w:hideMark/>
          </w:tcPr>
          <w:p w14:paraId="643971FC" w14:textId="77777777" w:rsidR="00383CEB" w:rsidRPr="00383CEB" w:rsidRDefault="00383CEB" w:rsidP="00383CEB">
            <w:pPr>
              <w:spacing w:after="0" w:line="240" w:lineRule="auto"/>
              <w:jc w:val="right"/>
              <w:rPr>
                <w:rFonts w:ascii="Calibri" w:eastAsia="Times New Roman" w:hAnsi="Calibri" w:cs="Calibri"/>
                <w:color w:val="000000"/>
                <w:lang w:eastAsia="en-NZ"/>
              </w:rPr>
            </w:pPr>
            <w:r w:rsidRPr="00383CEB">
              <w:rPr>
                <w:rFonts w:ascii="Calibri" w:eastAsia="Times New Roman" w:hAnsi="Calibri" w:cs="Calibri"/>
                <w:color w:val="000000"/>
                <w:lang w:eastAsia="en-NZ"/>
              </w:rPr>
              <w:t>64</w:t>
            </w:r>
          </w:p>
        </w:tc>
        <w:tc>
          <w:tcPr>
            <w:tcW w:w="976" w:type="dxa"/>
            <w:tcBorders>
              <w:top w:val="nil"/>
              <w:left w:val="nil"/>
              <w:bottom w:val="nil"/>
              <w:right w:val="nil"/>
            </w:tcBorders>
            <w:shd w:val="clear" w:color="auto" w:fill="auto"/>
            <w:noWrap/>
            <w:vAlign w:val="bottom"/>
            <w:hideMark/>
          </w:tcPr>
          <w:p w14:paraId="0AD6AF09" w14:textId="77777777" w:rsidR="00383CEB" w:rsidRPr="00383CEB" w:rsidRDefault="00383CEB" w:rsidP="00383CEB">
            <w:pPr>
              <w:spacing w:after="0" w:line="240" w:lineRule="auto"/>
              <w:jc w:val="right"/>
              <w:rPr>
                <w:rFonts w:ascii="Calibri" w:eastAsia="Times New Roman" w:hAnsi="Calibri" w:cs="Calibri"/>
                <w:color w:val="000000"/>
                <w:lang w:eastAsia="en-NZ"/>
              </w:rPr>
            </w:pPr>
            <w:r w:rsidRPr="00383CEB">
              <w:rPr>
                <w:rFonts w:ascii="Calibri" w:eastAsia="Times New Roman" w:hAnsi="Calibri" w:cs="Calibri"/>
                <w:color w:val="000000"/>
                <w:lang w:eastAsia="en-NZ"/>
              </w:rPr>
              <w:t>67</w:t>
            </w:r>
          </w:p>
        </w:tc>
        <w:tc>
          <w:tcPr>
            <w:tcW w:w="1296" w:type="dxa"/>
            <w:tcBorders>
              <w:top w:val="nil"/>
              <w:left w:val="nil"/>
              <w:bottom w:val="nil"/>
              <w:right w:val="nil"/>
            </w:tcBorders>
            <w:shd w:val="clear" w:color="auto" w:fill="auto"/>
            <w:noWrap/>
            <w:vAlign w:val="bottom"/>
            <w:hideMark/>
          </w:tcPr>
          <w:p w14:paraId="6905A19E" w14:textId="77777777" w:rsidR="00383CEB" w:rsidRPr="00383CEB" w:rsidRDefault="00383CEB" w:rsidP="00383CEB">
            <w:pPr>
              <w:spacing w:after="0" w:line="240" w:lineRule="auto"/>
              <w:jc w:val="right"/>
              <w:rPr>
                <w:rFonts w:ascii="Calibri" w:eastAsia="Times New Roman" w:hAnsi="Calibri" w:cs="Calibri"/>
                <w:color w:val="00B050"/>
                <w:lang w:eastAsia="en-NZ"/>
              </w:rPr>
            </w:pPr>
            <w:r w:rsidRPr="00383CEB">
              <w:rPr>
                <w:rFonts w:ascii="Calibri" w:eastAsia="Times New Roman" w:hAnsi="Calibri" w:cs="Calibri"/>
                <w:color w:val="00B050"/>
                <w:lang w:eastAsia="en-NZ"/>
              </w:rPr>
              <w:t>16</w:t>
            </w:r>
          </w:p>
        </w:tc>
        <w:tc>
          <w:tcPr>
            <w:tcW w:w="1256" w:type="dxa"/>
            <w:tcBorders>
              <w:top w:val="nil"/>
              <w:left w:val="nil"/>
              <w:bottom w:val="nil"/>
              <w:right w:val="nil"/>
            </w:tcBorders>
            <w:shd w:val="clear" w:color="auto" w:fill="auto"/>
            <w:noWrap/>
            <w:vAlign w:val="bottom"/>
            <w:hideMark/>
          </w:tcPr>
          <w:p w14:paraId="181610D4" w14:textId="77777777" w:rsidR="00383CEB" w:rsidRPr="00383CEB" w:rsidRDefault="00383CEB" w:rsidP="00383CEB">
            <w:pPr>
              <w:spacing w:after="0" w:line="240" w:lineRule="auto"/>
              <w:jc w:val="right"/>
              <w:rPr>
                <w:rFonts w:ascii="Calibri" w:eastAsia="Times New Roman" w:hAnsi="Calibri" w:cs="Calibri"/>
                <w:color w:val="00B050"/>
                <w:lang w:eastAsia="en-NZ"/>
              </w:rPr>
            </w:pPr>
            <w:r w:rsidRPr="00383CEB">
              <w:rPr>
                <w:rFonts w:ascii="Calibri" w:eastAsia="Times New Roman" w:hAnsi="Calibri" w:cs="Calibri"/>
                <w:color w:val="00B050"/>
                <w:lang w:eastAsia="en-NZ"/>
              </w:rPr>
              <w:t>3</w:t>
            </w:r>
          </w:p>
        </w:tc>
      </w:tr>
      <w:tr w:rsidR="00383CEB" w:rsidRPr="00383CEB" w14:paraId="6E879014" w14:textId="77777777" w:rsidTr="00383CEB">
        <w:trPr>
          <w:trHeight w:val="290"/>
        </w:trPr>
        <w:tc>
          <w:tcPr>
            <w:tcW w:w="1636" w:type="dxa"/>
            <w:tcBorders>
              <w:top w:val="nil"/>
              <w:left w:val="nil"/>
              <w:bottom w:val="nil"/>
              <w:right w:val="nil"/>
            </w:tcBorders>
            <w:shd w:val="clear" w:color="auto" w:fill="auto"/>
            <w:noWrap/>
            <w:vAlign w:val="bottom"/>
            <w:hideMark/>
          </w:tcPr>
          <w:p w14:paraId="38F76767" w14:textId="77777777" w:rsidR="00383CEB" w:rsidRPr="00383CEB" w:rsidRDefault="00383CEB" w:rsidP="00383CEB">
            <w:pPr>
              <w:spacing w:after="0" w:line="240" w:lineRule="auto"/>
              <w:rPr>
                <w:rFonts w:ascii="Calibri" w:eastAsia="Times New Roman" w:hAnsi="Calibri" w:cs="Calibri"/>
                <w:color w:val="000000"/>
                <w:lang w:eastAsia="en-NZ"/>
              </w:rPr>
            </w:pPr>
            <w:r w:rsidRPr="00383CEB">
              <w:rPr>
                <w:rFonts w:ascii="Calibri" w:eastAsia="Times New Roman" w:hAnsi="Calibri" w:cs="Calibri"/>
                <w:color w:val="000000"/>
                <w:lang w:eastAsia="en-NZ"/>
              </w:rPr>
              <w:t>South Africa</w:t>
            </w:r>
          </w:p>
        </w:tc>
        <w:tc>
          <w:tcPr>
            <w:tcW w:w="976" w:type="dxa"/>
            <w:tcBorders>
              <w:top w:val="nil"/>
              <w:left w:val="nil"/>
              <w:bottom w:val="nil"/>
              <w:right w:val="nil"/>
            </w:tcBorders>
            <w:shd w:val="clear" w:color="auto" w:fill="auto"/>
            <w:noWrap/>
            <w:vAlign w:val="bottom"/>
            <w:hideMark/>
          </w:tcPr>
          <w:p w14:paraId="06469ADC" w14:textId="77777777" w:rsidR="00383CEB" w:rsidRPr="00383CEB" w:rsidRDefault="00383CEB" w:rsidP="00383CEB">
            <w:pPr>
              <w:spacing w:after="0" w:line="240" w:lineRule="auto"/>
              <w:jc w:val="right"/>
              <w:rPr>
                <w:rFonts w:ascii="Calibri" w:eastAsia="Times New Roman" w:hAnsi="Calibri" w:cs="Calibri"/>
                <w:color w:val="000000"/>
                <w:lang w:eastAsia="en-NZ"/>
              </w:rPr>
            </w:pPr>
            <w:r w:rsidRPr="00383CEB">
              <w:rPr>
                <w:rFonts w:ascii="Calibri" w:eastAsia="Times New Roman" w:hAnsi="Calibri" w:cs="Calibri"/>
                <w:color w:val="000000"/>
                <w:lang w:eastAsia="en-NZ"/>
              </w:rPr>
              <w:t>86</w:t>
            </w:r>
          </w:p>
        </w:tc>
        <w:tc>
          <w:tcPr>
            <w:tcW w:w="976" w:type="dxa"/>
            <w:tcBorders>
              <w:top w:val="nil"/>
              <w:left w:val="nil"/>
              <w:bottom w:val="nil"/>
              <w:right w:val="nil"/>
            </w:tcBorders>
            <w:shd w:val="clear" w:color="auto" w:fill="auto"/>
            <w:noWrap/>
            <w:vAlign w:val="bottom"/>
            <w:hideMark/>
          </w:tcPr>
          <w:p w14:paraId="5DAFA57D" w14:textId="77777777" w:rsidR="00383CEB" w:rsidRPr="00383CEB" w:rsidRDefault="00383CEB" w:rsidP="00383CEB">
            <w:pPr>
              <w:spacing w:after="0" w:line="240" w:lineRule="auto"/>
              <w:jc w:val="right"/>
              <w:rPr>
                <w:rFonts w:ascii="Calibri" w:eastAsia="Times New Roman" w:hAnsi="Calibri" w:cs="Calibri"/>
                <w:color w:val="000000"/>
                <w:lang w:eastAsia="en-NZ"/>
              </w:rPr>
            </w:pPr>
            <w:r w:rsidRPr="00383CEB">
              <w:rPr>
                <w:rFonts w:ascii="Calibri" w:eastAsia="Times New Roman" w:hAnsi="Calibri" w:cs="Calibri"/>
                <w:color w:val="000000"/>
                <w:lang w:eastAsia="en-NZ"/>
              </w:rPr>
              <w:t>87</w:t>
            </w:r>
          </w:p>
        </w:tc>
        <w:tc>
          <w:tcPr>
            <w:tcW w:w="976" w:type="dxa"/>
            <w:tcBorders>
              <w:top w:val="nil"/>
              <w:left w:val="nil"/>
              <w:bottom w:val="nil"/>
              <w:right w:val="nil"/>
            </w:tcBorders>
            <w:shd w:val="clear" w:color="auto" w:fill="auto"/>
            <w:noWrap/>
            <w:vAlign w:val="bottom"/>
            <w:hideMark/>
          </w:tcPr>
          <w:p w14:paraId="366C95C3" w14:textId="77777777" w:rsidR="00383CEB" w:rsidRPr="00383CEB" w:rsidRDefault="00383CEB" w:rsidP="00383CEB">
            <w:pPr>
              <w:spacing w:after="0" w:line="240" w:lineRule="auto"/>
              <w:jc w:val="right"/>
              <w:rPr>
                <w:rFonts w:ascii="Calibri" w:eastAsia="Times New Roman" w:hAnsi="Calibri" w:cs="Calibri"/>
                <w:color w:val="000000"/>
                <w:lang w:eastAsia="en-NZ"/>
              </w:rPr>
            </w:pPr>
            <w:r w:rsidRPr="00383CEB">
              <w:rPr>
                <w:rFonts w:ascii="Calibri" w:eastAsia="Times New Roman" w:hAnsi="Calibri" w:cs="Calibri"/>
                <w:color w:val="000000"/>
                <w:lang w:eastAsia="en-NZ"/>
              </w:rPr>
              <w:t>92</w:t>
            </w:r>
          </w:p>
        </w:tc>
        <w:tc>
          <w:tcPr>
            <w:tcW w:w="976" w:type="dxa"/>
            <w:tcBorders>
              <w:top w:val="nil"/>
              <w:left w:val="nil"/>
              <w:bottom w:val="nil"/>
              <w:right w:val="nil"/>
            </w:tcBorders>
            <w:shd w:val="clear" w:color="auto" w:fill="auto"/>
            <w:noWrap/>
            <w:vAlign w:val="bottom"/>
            <w:hideMark/>
          </w:tcPr>
          <w:p w14:paraId="7EBA1C26" w14:textId="77777777" w:rsidR="00383CEB" w:rsidRPr="00383CEB" w:rsidRDefault="00383CEB" w:rsidP="00383CEB">
            <w:pPr>
              <w:spacing w:after="0" w:line="240" w:lineRule="auto"/>
              <w:jc w:val="right"/>
              <w:rPr>
                <w:rFonts w:ascii="Calibri" w:eastAsia="Times New Roman" w:hAnsi="Calibri" w:cs="Calibri"/>
                <w:color w:val="000000"/>
                <w:lang w:eastAsia="en-NZ"/>
              </w:rPr>
            </w:pPr>
            <w:r w:rsidRPr="00383CEB">
              <w:rPr>
                <w:rFonts w:ascii="Calibri" w:eastAsia="Times New Roman" w:hAnsi="Calibri" w:cs="Calibri"/>
                <w:color w:val="000000"/>
                <w:lang w:eastAsia="en-NZ"/>
              </w:rPr>
              <w:t>90</w:t>
            </w:r>
          </w:p>
        </w:tc>
        <w:tc>
          <w:tcPr>
            <w:tcW w:w="976" w:type="dxa"/>
            <w:tcBorders>
              <w:top w:val="nil"/>
              <w:left w:val="nil"/>
              <w:bottom w:val="nil"/>
              <w:right w:val="nil"/>
            </w:tcBorders>
            <w:shd w:val="clear" w:color="auto" w:fill="auto"/>
            <w:noWrap/>
            <w:vAlign w:val="bottom"/>
            <w:hideMark/>
          </w:tcPr>
          <w:p w14:paraId="44D6D47E" w14:textId="77777777" w:rsidR="00383CEB" w:rsidRPr="00383CEB" w:rsidRDefault="00383CEB" w:rsidP="00383CEB">
            <w:pPr>
              <w:spacing w:after="0" w:line="240" w:lineRule="auto"/>
              <w:jc w:val="right"/>
              <w:rPr>
                <w:rFonts w:ascii="Calibri" w:eastAsia="Times New Roman" w:hAnsi="Calibri" w:cs="Calibri"/>
                <w:color w:val="000000"/>
                <w:lang w:eastAsia="en-NZ"/>
              </w:rPr>
            </w:pPr>
            <w:r w:rsidRPr="00383CEB">
              <w:rPr>
                <w:rFonts w:ascii="Calibri" w:eastAsia="Times New Roman" w:hAnsi="Calibri" w:cs="Calibri"/>
                <w:color w:val="000000"/>
                <w:lang w:eastAsia="en-NZ"/>
              </w:rPr>
              <w:t>86</w:t>
            </w:r>
          </w:p>
        </w:tc>
        <w:tc>
          <w:tcPr>
            <w:tcW w:w="976" w:type="dxa"/>
            <w:tcBorders>
              <w:top w:val="nil"/>
              <w:left w:val="nil"/>
              <w:bottom w:val="nil"/>
              <w:right w:val="nil"/>
            </w:tcBorders>
            <w:shd w:val="clear" w:color="auto" w:fill="auto"/>
            <w:noWrap/>
            <w:vAlign w:val="bottom"/>
            <w:hideMark/>
          </w:tcPr>
          <w:p w14:paraId="00A2B4D4" w14:textId="77777777" w:rsidR="00383CEB" w:rsidRPr="00383CEB" w:rsidRDefault="00383CEB" w:rsidP="00383CEB">
            <w:pPr>
              <w:spacing w:after="0" w:line="240" w:lineRule="auto"/>
              <w:jc w:val="right"/>
              <w:rPr>
                <w:rFonts w:ascii="Calibri" w:eastAsia="Times New Roman" w:hAnsi="Calibri" w:cs="Calibri"/>
                <w:color w:val="000000"/>
                <w:lang w:eastAsia="en-NZ"/>
              </w:rPr>
            </w:pPr>
            <w:r w:rsidRPr="00383CEB">
              <w:rPr>
                <w:rFonts w:ascii="Calibri" w:eastAsia="Times New Roman" w:hAnsi="Calibri" w:cs="Calibri"/>
                <w:color w:val="000000"/>
                <w:lang w:eastAsia="en-NZ"/>
              </w:rPr>
              <w:t>89</w:t>
            </w:r>
          </w:p>
        </w:tc>
        <w:tc>
          <w:tcPr>
            <w:tcW w:w="1296" w:type="dxa"/>
            <w:tcBorders>
              <w:top w:val="nil"/>
              <w:left w:val="nil"/>
              <w:bottom w:val="nil"/>
              <w:right w:val="nil"/>
            </w:tcBorders>
            <w:shd w:val="clear" w:color="auto" w:fill="auto"/>
            <w:noWrap/>
            <w:vAlign w:val="bottom"/>
            <w:hideMark/>
          </w:tcPr>
          <w:p w14:paraId="7CFFCE54" w14:textId="77777777" w:rsidR="00383CEB" w:rsidRPr="0025534A" w:rsidRDefault="00383CEB" w:rsidP="00383CEB">
            <w:pPr>
              <w:spacing w:after="0" w:line="240" w:lineRule="auto"/>
              <w:jc w:val="right"/>
              <w:rPr>
                <w:rFonts w:ascii="Calibri" w:eastAsia="Times New Roman" w:hAnsi="Calibri" w:cs="Calibri"/>
                <w:color w:val="00B050"/>
                <w:lang w:eastAsia="en-NZ"/>
              </w:rPr>
            </w:pPr>
            <w:r w:rsidRPr="0025534A">
              <w:rPr>
                <w:rFonts w:ascii="Calibri" w:eastAsia="Times New Roman" w:hAnsi="Calibri" w:cs="Calibri"/>
                <w:color w:val="00B050"/>
                <w:lang w:eastAsia="en-NZ"/>
              </w:rPr>
              <w:t>3</w:t>
            </w:r>
          </w:p>
        </w:tc>
        <w:tc>
          <w:tcPr>
            <w:tcW w:w="1256" w:type="dxa"/>
            <w:tcBorders>
              <w:top w:val="nil"/>
              <w:left w:val="nil"/>
              <w:bottom w:val="nil"/>
              <w:right w:val="nil"/>
            </w:tcBorders>
            <w:shd w:val="clear" w:color="auto" w:fill="auto"/>
            <w:noWrap/>
            <w:vAlign w:val="bottom"/>
            <w:hideMark/>
          </w:tcPr>
          <w:p w14:paraId="7C9B57E3" w14:textId="77777777" w:rsidR="00383CEB" w:rsidRPr="00383CEB" w:rsidRDefault="00383CEB" w:rsidP="00383CEB">
            <w:pPr>
              <w:spacing w:after="0" w:line="240" w:lineRule="auto"/>
              <w:jc w:val="right"/>
              <w:rPr>
                <w:rFonts w:ascii="Calibri" w:eastAsia="Times New Roman" w:hAnsi="Calibri" w:cs="Calibri"/>
                <w:color w:val="00B050"/>
                <w:lang w:eastAsia="en-NZ"/>
              </w:rPr>
            </w:pPr>
            <w:r w:rsidRPr="00383CEB">
              <w:rPr>
                <w:rFonts w:ascii="Calibri" w:eastAsia="Times New Roman" w:hAnsi="Calibri" w:cs="Calibri"/>
                <w:color w:val="00B050"/>
                <w:lang w:eastAsia="en-NZ"/>
              </w:rPr>
              <w:t>3</w:t>
            </w:r>
          </w:p>
        </w:tc>
      </w:tr>
      <w:tr w:rsidR="00383CEB" w:rsidRPr="00383CEB" w14:paraId="5F27CA2C" w14:textId="77777777" w:rsidTr="00383CEB">
        <w:trPr>
          <w:trHeight w:val="290"/>
        </w:trPr>
        <w:tc>
          <w:tcPr>
            <w:tcW w:w="1636" w:type="dxa"/>
            <w:tcBorders>
              <w:top w:val="nil"/>
              <w:left w:val="nil"/>
              <w:bottom w:val="nil"/>
              <w:right w:val="nil"/>
            </w:tcBorders>
            <w:shd w:val="clear" w:color="auto" w:fill="auto"/>
            <w:noWrap/>
            <w:vAlign w:val="bottom"/>
            <w:hideMark/>
          </w:tcPr>
          <w:p w14:paraId="61AF4FC4" w14:textId="77777777" w:rsidR="00383CEB" w:rsidRPr="00383CEB" w:rsidRDefault="00383CEB" w:rsidP="00383CEB">
            <w:pPr>
              <w:spacing w:after="0" w:line="240" w:lineRule="auto"/>
              <w:rPr>
                <w:rFonts w:ascii="Calibri" w:eastAsia="Times New Roman" w:hAnsi="Calibri" w:cs="Calibri"/>
                <w:color w:val="000000"/>
                <w:lang w:eastAsia="en-NZ"/>
              </w:rPr>
            </w:pPr>
            <w:r w:rsidRPr="00383CEB">
              <w:rPr>
                <w:rFonts w:ascii="Calibri" w:eastAsia="Times New Roman" w:hAnsi="Calibri" w:cs="Calibri"/>
                <w:color w:val="000000"/>
                <w:lang w:eastAsia="en-NZ"/>
              </w:rPr>
              <w:t>Tunisia</w:t>
            </w:r>
          </w:p>
        </w:tc>
        <w:tc>
          <w:tcPr>
            <w:tcW w:w="976" w:type="dxa"/>
            <w:tcBorders>
              <w:top w:val="nil"/>
              <w:left w:val="nil"/>
              <w:bottom w:val="nil"/>
              <w:right w:val="nil"/>
            </w:tcBorders>
            <w:shd w:val="clear" w:color="auto" w:fill="auto"/>
            <w:noWrap/>
            <w:vAlign w:val="bottom"/>
            <w:hideMark/>
          </w:tcPr>
          <w:p w14:paraId="1D93FFD3" w14:textId="77777777" w:rsidR="00383CEB" w:rsidRPr="00383CEB" w:rsidRDefault="00383CEB" w:rsidP="00383CEB">
            <w:pPr>
              <w:spacing w:after="0" w:line="240" w:lineRule="auto"/>
              <w:rPr>
                <w:rFonts w:ascii="Calibri" w:eastAsia="Times New Roman" w:hAnsi="Calibri" w:cs="Calibri"/>
                <w:color w:val="000000"/>
                <w:lang w:eastAsia="en-NZ"/>
              </w:rPr>
            </w:pPr>
          </w:p>
        </w:tc>
        <w:tc>
          <w:tcPr>
            <w:tcW w:w="976" w:type="dxa"/>
            <w:tcBorders>
              <w:top w:val="nil"/>
              <w:left w:val="nil"/>
              <w:bottom w:val="nil"/>
              <w:right w:val="nil"/>
            </w:tcBorders>
            <w:shd w:val="clear" w:color="auto" w:fill="auto"/>
            <w:noWrap/>
            <w:vAlign w:val="bottom"/>
            <w:hideMark/>
          </w:tcPr>
          <w:p w14:paraId="51CA1186" w14:textId="77777777" w:rsidR="00383CEB" w:rsidRPr="00383CEB" w:rsidRDefault="00383CEB" w:rsidP="00383CEB">
            <w:pPr>
              <w:spacing w:after="0" w:line="240" w:lineRule="auto"/>
              <w:rPr>
                <w:rFonts w:ascii="Times New Roman" w:eastAsia="Times New Roman" w:hAnsi="Times New Roman" w:cs="Times New Roman"/>
                <w:sz w:val="20"/>
                <w:szCs w:val="20"/>
                <w:lang w:eastAsia="en-NZ"/>
              </w:rPr>
            </w:pPr>
          </w:p>
        </w:tc>
        <w:tc>
          <w:tcPr>
            <w:tcW w:w="976" w:type="dxa"/>
            <w:tcBorders>
              <w:top w:val="nil"/>
              <w:left w:val="nil"/>
              <w:bottom w:val="nil"/>
              <w:right w:val="nil"/>
            </w:tcBorders>
            <w:shd w:val="clear" w:color="auto" w:fill="auto"/>
            <w:noWrap/>
            <w:vAlign w:val="bottom"/>
            <w:hideMark/>
          </w:tcPr>
          <w:p w14:paraId="500F33A5" w14:textId="77777777" w:rsidR="00383CEB" w:rsidRPr="00383CEB" w:rsidRDefault="00383CEB" w:rsidP="00383CEB">
            <w:pPr>
              <w:spacing w:after="0" w:line="240" w:lineRule="auto"/>
              <w:rPr>
                <w:rFonts w:ascii="Times New Roman" w:eastAsia="Times New Roman" w:hAnsi="Times New Roman" w:cs="Times New Roman"/>
                <w:sz w:val="20"/>
                <w:szCs w:val="20"/>
                <w:lang w:eastAsia="en-NZ"/>
              </w:rPr>
            </w:pPr>
          </w:p>
        </w:tc>
        <w:tc>
          <w:tcPr>
            <w:tcW w:w="976" w:type="dxa"/>
            <w:tcBorders>
              <w:top w:val="nil"/>
              <w:left w:val="nil"/>
              <w:bottom w:val="nil"/>
              <w:right w:val="nil"/>
            </w:tcBorders>
            <w:shd w:val="clear" w:color="auto" w:fill="auto"/>
            <w:noWrap/>
            <w:vAlign w:val="bottom"/>
            <w:hideMark/>
          </w:tcPr>
          <w:p w14:paraId="723D2558" w14:textId="77777777" w:rsidR="00383CEB" w:rsidRPr="00383CEB" w:rsidRDefault="00383CEB" w:rsidP="00383CEB">
            <w:pPr>
              <w:spacing w:after="0" w:line="240" w:lineRule="auto"/>
              <w:jc w:val="right"/>
              <w:rPr>
                <w:rFonts w:ascii="Calibri" w:eastAsia="Times New Roman" w:hAnsi="Calibri" w:cs="Calibri"/>
                <w:color w:val="000000"/>
                <w:lang w:eastAsia="en-NZ"/>
              </w:rPr>
            </w:pPr>
            <w:r w:rsidRPr="00383CEB">
              <w:rPr>
                <w:rFonts w:ascii="Calibri" w:eastAsia="Times New Roman" w:hAnsi="Calibri" w:cs="Calibri"/>
                <w:color w:val="000000"/>
                <w:lang w:eastAsia="en-NZ"/>
              </w:rPr>
              <w:t>11</w:t>
            </w:r>
          </w:p>
        </w:tc>
        <w:tc>
          <w:tcPr>
            <w:tcW w:w="976" w:type="dxa"/>
            <w:tcBorders>
              <w:top w:val="nil"/>
              <w:left w:val="nil"/>
              <w:bottom w:val="nil"/>
              <w:right w:val="nil"/>
            </w:tcBorders>
            <w:shd w:val="clear" w:color="auto" w:fill="auto"/>
            <w:noWrap/>
            <w:vAlign w:val="bottom"/>
            <w:hideMark/>
          </w:tcPr>
          <w:p w14:paraId="2ECE8A18" w14:textId="77777777" w:rsidR="00383CEB" w:rsidRPr="00383CEB" w:rsidRDefault="00383CEB" w:rsidP="00383CEB">
            <w:pPr>
              <w:spacing w:after="0" w:line="240" w:lineRule="auto"/>
              <w:jc w:val="right"/>
              <w:rPr>
                <w:rFonts w:ascii="Calibri" w:eastAsia="Times New Roman" w:hAnsi="Calibri" w:cs="Calibri"/>
                <w:color w:val="000000"/>
                <w:lang w:eastAsia="en-NZ"/>
              </w:rPr>
            </w:pPr>
            <w:r w:rsidRPr="00383CEB">
              <w:rPr>
                <w:rFonts w:ascii="Calibri" w:eastAsia="Times New Roman" w:hAnsi="Calibri" w:cs="Calibri"/>
                <w:color w:val="000000"/>
                <w:lang w:eastAsia="en-NZ"/>
              </w:rPr>
              <w:t>42</w:t>
            </w:r>
          </w:p>
        </w:tc>
        <w:tc>
          <w:tcPr>
            <w:tcW w:w="976" w:type="dxa"/>
            <w:tcBorders>
              <w:top w:val="nil"/>
              <w:left w:val="nil"/>
              <w:bottom w:val="nil"/>
              <w:right w:val="nil"/>
            </w:tcBorders>
            <w:shd w:val="clear" w:color="auto" w:fill="auto"/>
            <w:noWrap/>
            <w:vAlign w:val="bottom"/>
            <w:hideMark/>
          </w:tcPr>
          <w:p w14:paraId="44948E90" w14:textId="77777777" w:rsidR="00383CEB" w:rsidRPr="00383CEB" w:rsidRDefault="00383CEB" w:rsidP="00383CEB">
            <w:pPr>
              <w:spacing w:after="0" w:line="240" w:lineRule="auto"/>
              <w:jc w:val="right"/>
              <w:rPr>
                <w:rFonts w:ascii="Calibri" w:eastAsia="Times New Roman" w:hAnsi="Calibri" w:cs="Calibri"/>
                <w:color w:val="000000"/>
                <w:lang w:eastAsia="en-NZ"/>
              </w:rPr>
            </w:pPr>
            <w:r w:rsidRPr="00383CEB">
              <w:rPr>
                <w:rFonts w:ascii="Calibri" w:eastAsia="Times New Roman" w:hAnsi="Calibri" w:cs="Calibri"/>
                <w:color w:val="000000"/>
                <w:lang w:eastAsia="en-NZ"/>
              </w:rPr>
              <w:t>39</w:t>
            </w:r>
          </w:p>
        </w:tc>
        <w:tc>
          <w:tcPr>
            <w:tcW w:w="1296" w:type="dxa"/>
            <w:tcBorders>
              <w:top w:val="nil"/>
              <w:left w:val="nil"/>
              <w:bottom w:val="nil"/>
              <w:right w:val="nil"/>
            </w:tcBorders>
            <w:shd w:val="clear" w:color="auto" w:fill="auto"/>
            <w:noWrap/>
            <w:vAlign w:val="bottom"/>
            <w:hideMark/>
          </w:tcPr>
          <w:p w14:paraId="122E0DF8" w14:textId="77777777" w:rsidR="00383CEB" w:rsidRPr="00383CEB" w:rsidRDefault="00383CEB" w:rsidP="00383CEB">
            <w:pPr>
              <w:spacing w:after="0" w:line="240" w:lineRule="auto"/>
              <w:jc w:val="right"/>
              <w:rPr>
                <w:rFonts w:ascii="Calibri" w:eastAsia="Times New Roman" w:hAnsi="Calibri" w:cs="Calibri"/>
                <w:color w:val="00B050"/>
                <w:lang w:eastAsia="en-NZ"/>
              </w:rPr>
            </w:pPr>
            <w:r w:rsidRPr="00383CEB">
              <w:rPr>
                <w:rFonts w:ascii="Calibri" w:eastAsia="Times New Roman" w:hAnsi="Calibri" w:cs="Calibri"/>
                <w:color w:val="00B050"/>
                <w:lang w:eastAsia="en-NZ"/>
              </w:rPr>
              <w:t>28</w:t>
            </w:r>
          </w:p>
        </w:tc>
        <w:tc>
          <w:tcPr>
            <w:tcW w:w="1256" w:type="dxa"/>
            <w:tcBorders>
              <w:top w:val="nil"/>
              <w:left w:val="nil"/>
              <w:bottom w:val="nil"/>
              <w:right w:val="nil"/>
            </w:tcBorders>
            <w:shd w:val="clear" w:color="auto" w:fill="auto"/>
            <w:noWrap/>
            <w:vAlign w:val="bottom"/>
            <w:hideMark/>
          </w:tcPr>
          <w:p w14:paraId="0BDAACE7" w14:textId="77777777" w:rsidR="00383CEB" w:rsidRPr="00383CEB" w:rsidRDefault="00383CEB" w:rsidP="00383CEB">
            <w:pPr>
              <w:spacing w:after="0" w:line="240" w:lineRule="auto"/>
              <w:jc w:val="right"/>
              <w:rPr>
                <w:rFonts w:ascii="Calibri" w:eastAsia="Times New Roman" w:hAnsi="Calibri" w:cs="Calibri"/>
                <w:color w:val="FF0000"/>
                <w:lang w:eastAsia="en-NZ"/>
              </w:rPr>
            </w:pPr>
            <w:r w:rsidRPr="00383CEB">
              <w:rPr>
                <w:rFonts w:ascii="Calibri" w:eastAsia="Times New Roman" w:hAnsi="Calibri" w:cs="Calibri"/>
                <w:color w:val="FF0000"/>
                <w:lang w:eastAsia="en-NZ"/>
              </w:rPr>
              <w:t>-3</w:t>
            </w:r>
          </w:p>
        </w:tc>
      </w:tr>
      <w:tr w:rsidR="00383CEB" w:rsidRPr="00383CEB" w14:paraId="3D457500" w14:textId="77777777" w:rsidTr="00383CEB">
        <w:trPr>
          <w:trHeight w:val="290"/>
        </w:trPr>
        <w:tc>
          <w:tcPr>
            <w:tcW w:w="1636" w:type="dxa"/>
            <w:tcBorders>
              <w:top w:val="nil"/>
              <w:left w:val="nil"/>
              <w:bottom w:val="nil"/>
              <w:right w:val="nil"/>
            </w:tcBorders>
            <w:shd w:val="clear" w:color="auto" w:fill="auto"/>
            <w:noWrap/>
            <w:vAlign w:val="bottom"/>
            <w:hideMark/>
          </w:tcPr>
          <w:p w14:paraId="1483D2ED" w14:textId="77777777" w:rsidR="00383CEB" w:rsidRPr="00383CEB" w:rsidRDefault="00383CEB" w:rsidP="00383CEB">
            <w:pPr>
              <w:spacing w:after="0" w:line="240" w:lineRule="auto"/>
              <w:rPr>
                <w:rFonts w:ascii="Calibri" w:eastAsia="Times New Roman" w:hAnsi="Calibri" w:cs="Calibri"/>
                <w:color w:val="000000"/>
                <w:lang w:eastAsia="en-NZ"/>
              </w:rPr>
            </w:pPr>
            <w:r w:rsidRPr="00383CEB">
              <w:rPr>
                <w:rFonts w:ascii="Calibri" w:eastAsia="Times New Roman" w:hAnsi="Calibri" w:cs="Calibri"/>
                <w:color w:val="000000"/>
                <w:lang w:eastAsia="en-NZ"/>
              </w:rPr>
              <w:t>U.S.A.</w:t>
            </w:r>
          </w:p>
        </w:tc>
        <w:tc>
          <w:tcPr>
            <w:tcW w:w="976" w:type="dxa"/>
            <w:tcBorders>
              <w:top w:val="nil"/>
              <w:left w:val="nil"/>
              <w:bottom w:val="nil"/>
              <w:right w:val="nil"/>
            </w:tcBorders>
            <w:shd w:val="clear" w:color="auto" w:fill="auto"/>
            <w:noWrap/>
            <w:vAlign w:val="bottom"/>
            <w:hideMark/>
          </w:tcPr>
          <w:p w14:paraId="203F98E1" w14:textId="77777777" w:rsidR="00383CEB" w:rsidRPr="00383CEB" w:rsidRDefault="00383CEB" w:rsidP="00383CEB">
            <w:pPr>
              <w:spacing w:after="0" w:line="240" w:lineRule="auto"/>
              <w:jc w:val="right"/>
              <w:rPr>
                <w:rFonts w:ascii="Calibri" w:eastAsia="Times New Roman" w:hAnsi="Calibri" w:cs="Calibri"/>
                <w:color w:val="000000"/>
                <w:lang w:eastAsia="en-NZ"/>
              </w:rPr>
            </w:pPr>
            <w:r w:rsidRPr="00383CEB">
              <w:rPr>
                <w:rFonts w:ascii="Calibri" w:eastAsia="Times New Roman" w:hAnsi="Calibri" w:cs="Calibri"/>
                <w:color w:val="000000"/>
                <w:lang w:eastAsia="en-NZ"/>
              </w:rPr>
              <w:t>81</w:t>
            </w:r>
          </w:p>
        </w:tc>
        <w:tc>
          <w:tcPr>
            <w:tcW w:w="976" w:type="dxa"/>
            <w:tcBorders>
              <w:top w:val="nil"/>
              <w:left w:val="nil"/>
              <w:bottom w:val="nil"/>
              <w:right w:val="nil"/>
            </w:tcBorders>
            <w:shd w:val="clear" w:color="auto" w:fill="auto"/>
            <w:noWrap/>
            <w:vAlign w:val="bottom"/>
            <w:hideMark/>
          </w:tcPr>
          <w:p w14:paraId="42D8ADDB" w14:textId="77777777" w:rsidR="00383CEB" w:rsidRPr="00383CEB" w:rsidRDefault="00383CEB" w:rsidP="00383CEB">
            <w:pPr>
              <w:spacing w:after="0" w:line="240" w:lineRule="auto"/>
              <w:jc w:val="right"/>
              <w:rPr>
                <w:rFonts w:ascii="Calibri" w:eastAsia="Times New Roman" w:hAnsi="Calibri" w:cs="Calibri"/>
                <w:color w:val="000000"/>
                <w:lang w:eastAsia="en-NZ"/>
              </w:rPr>
            </w:pPr>
            <w:r w:rsidRPr="00383CEB">
              <w:rPr>
                <w:rFonts w:ascii="Calibri" w:eastAsia="Times New Roman" w:hAnsi="Calibri" w:cs="Calibri"/>
                <w:color w:val="000000"/>
                <w:lang w:eastAsia="en-NZ"/>
              </w:rPr>
              <w:t>82</w:t>
            </w:r>
          </w:p>
        </w:tc>
        <w:tc>
          <w:tcPr>
            <w:tcW w:w="976" w:type="dxa"/>
            <w:tcBorders>
              <w:top w:val="nil"/>
              <w:left w:val="nil"/>
              <w:bottom w:val="nil"/>
              <w:right w:val="nil"/>
            </w:tcBorders>
            <w:shd w:val="clear" w:color="auto" w:fill="auto"/>
            <w:noWrap/>
            <w:vAlign w:val="bottom"/>
            <w:hideMark/>
          </w:tcPr>
          <w:p w14:paraId="0D92744B" w14:textId="77777777" w:rsidR="00383CEB" w:rsidRPr="00383CEB" w:rsidRDefault="00383CEB" w:rsidP="00383CEB">
            <w:pPr>
              <w:spacing w:after="0" w:line="240" w:lineRule="auto"/>
              <w:jc w:val="right"/>
              <w:rPr>
                <w:rFonts w:ascii="Calibri" w:eastAsia="Times New Roman" w:hAnsi="Calibri" w:cs="Calibri"/>
                <w:color w:val="000000"/>
                <w:lang w:eastAsia="en-NZ"/>
              </w:rPr>
            </w:pPr>
            <w:r w:rsidRPr="00383CEB">
              <w:rPr>
                <w:rFonts w:ascii="Calibri" w:eastAsia="Times New Roman" w:hAnsi="Calibri" w:cs="Calibri"/>
                <w:color w:val="000000"/>
                <w:lang w:eastAsia="en-NZ"/>
              </w:rPr>
              <w:t>82</w:t>
            </w:r>
          </w:p>
        </w:tc>
        <w:tc>
          <w:tcPr>
            <w:tcW w:w="976" w:type="dxa"/>
            <w:tcBorders>
              <w:top w:val="nil"/>
              <w:left w:val="nil"/>
              <w:bottom w:val="nil"/>
              <w:right w:val="nil"/>
            </w:tcBorders>
            <w:shd w:val="clear" w:color="auto" w:fill="auto"/>
            <w:noWrap/>
            <w:vAlign w:val="bottom"/>
            <w:hideMark/>
          </w:tcPr>
          <w:p w14:paraId="46840A88" w14:textId="77777777" w:rsidR="00383CEB" w:rsidRPr="00383CEB" w:rsidRDefault="00383CEB" w:rsidP="00383CEB">
            <w:pPr>
              <w:spacing w:after="0" w:line="240" w:lineRule="auto"/>
              <w:jc w:val="right"/>
              <w:rPr>
                <w:rFonts w:ascii="Calibri" w:eastAsia="Times New Roman" w:hAnsi="Calibri" w:cs="Calibri"/>
                <w:color w:val="000000"/>
                <w:lang w:eastAsia="en-NZ"/>
              </w:rPr>
            </w:pPr>
            <w:r w:rsidRPr="00383CEB">
              <w:rPr>
                <w:rFonts w:ascii="Calibri" w:eastAsia="Times New Roman" w:hAnsi="Calibri" w:cs="Calibri"/>
                <w:color w:val="000000"/>
                <w:lang w:eastAsia="en-NZ"/>
              </w:rPr>
              <w:t>79</w:t>
            </w:r>
          </w:p>
        </w:tc>
        <w:tc>
          <w:tcPr>
            <w:tcW w:w="976" w:type="dxa"/>
            <w:tcBorders>
              <w:top w:val="nil"/>
              <w:left w:val="nil"/>
              <w:bottom w:val="nil"/>
              <w:right w:val="nil"/>
            </w:tcBorders>
            <w:shd w:val="clear" w:color="auto" w:fill="auto"/>
            <w:noWrap/>
            <w:vAlign w:val="bottom"/>
            <w:hideMark/>
          </w:tcPr>
          <w:p w14:paraId="5294E077" w14:textId="77777777" w:rsidR="00383CEB" w:rsidRPr="00383CEB" w:rsidRDefault="00383CEB" w:rsidP="00383CEB">
            <w:pPr>
              <w:spacing w:after="0" w:line="240" w:lineRule="auto"/>
              <w:jc w:val="right"/>
              <w:rPr>
                <w:rFonts w:ascii="Calibri" w:eastAsia="Times New Roman" w:hAnsi="Calibri" w:cs="Calibri"/>
                <w:color w:val="000000"/>
                <w:lang w:eastAsia="en-NZ"/>
              </w:rPr>
            </w:pPr>
            <w:r w:rsidRPr="00383CEB">
              <w:rPr>
                <w:rFonts w:ascii="Calibri" w:eastAsia="Times New Roman" w:hAnsi="Calibri" w:cs="Calibri"/>
                <w:color w:val="000000"/>
                <w:lang w:eastAsia="en-NZ"/>
              </w:rPr>
              <w:t>81</w:t>
            </w:r>
          </w:p>
        </w:tc>
        <w:tc>
          <w:tcPr>
            <w:tcW w:w="976" w:type="dxa"/>
            <w:tcBorders>
              <w:top w:val="nil"/>
              <w:left w:val="nil"/>
              <w:bottom w:val="nil"/>
              <w:right w:val="nil"/>
            </w:tcBorders>
            <w:shd w:val="clear" w:color="auto" w:fill="auto"/>
            <w:noWrap/>
            <w:vAlign w:val="bottom"/>
            <w:hideMark/>
          </w:tcPr>
          <w:p w14:paraId="34742600" w14:textId="77777777" w:rsidR="00383CEB" w:rsidRPr="00383CEB" w:rsidRDefault="00383CEB" w:rsidP="00383CEB">
            <w:pPr>
              <w:spacing w:after="0" w:line="240" w:lineRule="auto"/>
              <w:jc w:val="right"/>
              <w:rPr>
                <w:rFonts w:ascii="Calibri" w:eastAsia="Times New Roman" w:hAnsi="Calibri" w:cs="Calibri"/>
                <w:color w:val="000000"/>
                <w:lang w:eastAsia="en-NZ"/>
              </w:rPr>
            </w:pPr>
            <w:r w:rsidRPr="00383CEB">
              <w:rPr>
                <w:rFonts w:ascii="Calibri" w:eastAsia="Times New Roman" w:hAnsi="Calibri" w:cs="Calibri"/>
                <w:color w:val="000000"/>
                <w:lang w:eastAsia="en-NZ"/>
              </w:rPr>
              <w:t>77</w:t>
            </w:r>
          </w:p>
        </w:tc>
        <w:tc>
          <w:tcPr>
            <w:tcW w:w="1296" w:type="dxa"/>
            <w:tcBorders>
              <w:top w:val="nil"/>
              <w:left w:val="nil"/>
              <w:bottom w:val="nil"/>
              <w:right w:val="nil"/>
            </w:tcBorders>
            <w:shd w:val="clear" w:color="auto" w:fill="auto"/>
            <w:noWrap/>
            <w:vAlign w:val="bottom"/>
            <w:hideMark/>
          </w:tcPr>
          <w:p w14:paraId="66E28FA3" w14:textId="77777777" w:rsidR="00383CEB" w:rsidRPr="00383CEB" w:rsidRDefault="00383CEB" w:rsidP="00383CEB">
            <w:pPr>
              <w:spacing w:after="0" w:line="240" w:lineRule="auto"/>
              <w:jc w:val="right"/>
              <w:rPr>
                <w:rFonts w:ascii="Calibri" w:eastAsia="Times New Roman" w:hAnsi="Calibri" w:cs="Calibri"/>
                <w:color w:val="FF0000"/>
                <w:lang w:eastAsia="en-NZ"/>
              </w:rPr>
            </w:pPr>
            <w:r w:rsidRPr="00383CEB">
              <w:rPr>
                <w:rFonts w:ascii="Calibri" w:eastAsia="Times New Roman" w:hAnsi="Calibri" w:cs="Calibri"/>
                <w:color w:val="FF0000"/>
                <w:lang w:eastAsia="en-NZ"/>
              </w:rPr>
              <w:t>-4</w:t>
            </w:r>
          </w:p>
        </w:tc>
        <w:tc>
          <w:tcPr>
            <w:tcW w:w="1256" w:type="dxa"/>
            <w:tcBorders>
              <w:top w:val="nil"/>
              <w:left w:val="nil"/>
              <w:bottom w:val="nil"/>
              <w:right w:val="nil"/>
            </w:tcBorders>
            <w:shd w:val="clear" w:color="auto" w:fill="auto"/>
            <w:noWrap/>
            <w:vAlign w:val="bottom"/>
            <w:hideMark/>
          </w:tcPr>
          <w:p w14:paraId="1CAD3E8D" w14:textId="77777777" w:rsidR="00383CEB" w:rsidRPr="00383CEB" w:rsidRDefault="00383CEB" w:rsidP="00383CEB">
            <w:pPr>
              <w:spacing w:after="0" w:line="240" w:lineRule="auto"/>
              <w:jc w:val="right"/>
              <w:rPr>
                <w:rFonts w:ascii="Calibri" w:eastAsia="Times New Roman" w:hAnsi="Calibri" w:cs="Calibri"/>
                <w:color w:val="FF0000"/>
                <w:lang w:eastAsia="en-NZ"/>
              </w:rPr>
            </w:pPr>
            <w:r w:rsidRPr="00383CEB">
              <w:rPr>
                <w:rFonts w:ascii="Calibri" w:eastAsia="Times New Roman" w:hAnsi="Calibri" w:cs="Calibri"/>
                <w:color w:val="FF0000"/>
                <w:lang w:eastAsia="en-NZ"/>
              </w:rPr>
              <w:t>-4</w:t>
            </w:r>
          </w:p>
        </w:tc>
      </w:tr>
      <w:tr w:rsidR="00383CEB" w:rsidRPr="00383CEB" w14:paraId="34818C8F" w14:textId="77777777" w:rsidTr="00383CEB">
        <w:trPr>
          <w:trHeight w:val="290"/>
        </w:trPr>
        <w:tc>
          <w:tcPr>
            <w:tcW w:w="1636" w:type="dxa"/>
            <w:tcBorders>
              <w:top w:val="nil"/>
              <w:left w:val="nil"/>
              <w:bottom w:val="nil"/>
              <w:right w:val="nil"/>
            </w:tcBorders>
            <w:shd w:val="clear" w:color="auto" w:fill="auto"/>
            <w:noWrap/>
            <w:vAlign w:val="bottom"/>
            <w:hideMark/>
          </w:tcPr>
          <w:p w14:paraId="2CA6494F" w14:textId="77777777" w:rsidR="00383CEB" w:rsidRPr="00383CEB" w:rsidRDefault="00383CEB" w:rsidP="00383CEB">
            <w:pPr>
              <w:spacing w:after="0" w:line="240" w:lineRule="auto"/>
              <w:rPr>
                <w:rFonts w:ascii="Calibri" w:eastAsia="Times New Roman" w:hAnsi="Calibri" w:cs="Calibri"/>
                <w:color w:val="000000"/>
                <w:lang w:eastAsia="en-NZ"/>
              </w:rPr>
            </w:pPr>
            <w:r w:rsidRPr="00383CEB">
              <w:rPr>
                <w:rFonts w:ascii="Calibri" w:eastAsia="Times New Roman" w:hAnsi="Calibri" w:cs="Calibri"/>
                <w:color w:val="000000"/>
                <w:lang w:eastAsia="en-NZ"/>
              </w:rPr>
              <w:t>Ukraine</w:t>
            </w:r>
          </w:p>
        </w:tc>
        <w:tc>
          <w:tcPr>
            <w:tcW w:w="976" w:type="dxa"/>
            <w:tcBorders>
              <w:top w:val="nil"/>
              <w:left w:val="nil"/>
              <w:bottom w:val="nil"/>
              <w:right w:val="nil"/>
            </w:tcBorders>
            <w:shd w:val="clear" w:color="auto" w:fill="auto"/>
            <w:noWrap/>
            <w:vAlign w:val="bottom"/>
            <w:hideMark/>
          </w:tcPr>
          <w:p w14:paraId="02571A0B" w14:textId="77777777" w:rsidR="00383CEB" w:rsidRPr="00383CEB" w:rsidRDefault="00383CEB" w:rsidP="00383CEB">
            <w:pPr>
              <w:spacing w:after="0" w:line="240" w:lineRule="auto"/>
              <w:rPr>
                <w:rFonts w:ascii="Calibri" w:eastAsia="Times New Roman" w:hAnsi="Calibri" w:cs="Calibri"/>
                <w:color w:val="000000"/>
                <w:lang w:eastAsia="en-NZ"/>
              </w:rPr>
            </w:pPr>
          </w:p>
        </w:tc>
        <w:tc>
          <w:tcPr>
            <w:tcW w:w="976" w:type="dxa"/>
            <w:tcBorders>
              <w:top w:val="nil"/>
              <w:left w:val="nil"/>
              <w:bottom w:val="nil"/>
              <w:right w:val="nil"/>
            </w:tcBorders>
            <w:shd w:val="clear" w:color="auto" w:fill="auto"/>
            <w:noWrap/>
            <w:vAlign w:val="bottom"/>
            <w:hideMark/>
          </w:tcPr>
          <w:p w14:paraId="628ED044" w14:textId="77777777" w:rsidR="00383CEB" w:rsidRPr="00383CEB" w:rsidRDefault="00383CEB" w:rsidP="00383CEB">
            <w:pPr>
              <w:spacing w:after="0" w:line="240" w:lineRule="auto"/>
              <w:jc w:val="right"/>
              <w:rPr>
                <w:rFonts w:ascii="Calibri" w:eastAsia="Times New Roman" w:hAnsi="Calibri" w:cs="Calibri"/>
                <w:color w:val="000000"/>
                <w:lang w:eastAsia="en-NZ"/>
              </w:rPr>
            </w:pPr>
            <w:r w:rsidRPr="00383CEB">
              <w:rPr>
                <w:rFonts w:ascii="Calibri" w:eastAsia="Times New Roman" w:hAnsi="Calibri" w:cs="Calibri"/>
                <w:color w:val="000000"/>
                <w:lang w:eastAsia="en-NZ"/>
              </w:rPr>
              <w:t>55</w:t>
            </w:r>
          </w:p>
        </w:tc>
        <w:tc>
          <w:tcPr>
            <w:tcW w:w="976" w:type="dxa"/>
            <w:tcBorders>
              <w:top w:val="nil"/>
              <w:left w:val="nil"/>
              <w:bottom w:val="nil"/>
              <w:right w:val="nil"/>
            </w:tcBorders>
            <w:shd w:val="clear" w:color="auto" w:fill="auto"/>
            <w:noWrap/>
            <w:vAlign w:val="bottom"/>
            <w:hideMark/>
          </w:tcPr>
          <w:p w14:paraId="1BD8AA5B" w14:textId="77777777" w:rsidR="00383CEB" w:rsidRPr="00383CEB" w:rsidRDefault="00383CEB" w:rsidP="00383CEB">
            <w:pPr>
              <w:spacing w:after="0" w:line="240" w:lineRule="auto"/>
              <w:jc w:val="right"/>
              <w:rPr>
                <w:rFonts w:ascii="Calibri" w:eastAsia="Times New Roman" w:hAnsi="Calibri" w:cs="Calibri"/>
                <w:color w:val="000000"/>
                <w:lang w:eastAsia="en-NZ"/>
              </w:rPr>
            </w:pPr>
            <w:r w:rsidRPr="00383CEB">
              <w:rPr>
                <w:rFonts w:ascii="Calibri" w:eastAsia="Times New Roman" w:hAnsi="Calibri" w:cs="Calibri"/>
                <w:color w:val="000000"/>
                <w:lang w:eastAsia="en-NZ"/>
              </w:rPr>
              <w:t>62</w:t>
            </w:r>
          </w:p>
        </w:tc>
        <w:tc>
          <w:tcPr>
            <w:tcW w:w="976" w:type="dxa"/>
            <w:tcBorders>
              <w:top w:val="nil"/>
              <w:left w:val="nil"/>
              <w:bottom w:val="nil"/>
              <w:right w:val="nil"/>
            </w:tcBorders>
            <w:shd w:val="clear" w:color="auto" w:fill="auto"/>
            <w:noWrap/>
            <w:vAlign w:val="bottom"/>
            <w:hideMark/>
          </w:tcPr>
          <w:p w14:paraId="620C33E2" w14:textId="77777777" w:rsidR="00383CEB" w:rsidRPr="00383CEB" w:rsidRDefault="00383CEB" w:rsidP="00383CEB">
            <w:pPr>
              <w:spacing w:after="0" w:line="240" w:lineRule="auto"/>
              <w:jc w:val="right"/>
              <w:rPr>
                <w:rFonts w:ascii="Calibri" w:eastAsia="Times New Roman" w:hAnsi="Calibri" w:cs="Calibri"/>
                <w:color w:val="000000"/>
                <w:lang w:eastAsia="en-NZ"/>
              </w:rPr>
            </w:pPr>
            <w:r w:rsidRPr="00383CEB">
              <w:rPr>
                <w:rFonts w:ascii="Calibri" w:eastAsia="Times New Roman" w:hAnsi="Calibri" w:cs="Calibri"/>
                <w:color w:val="000000"/>
                <w:lang w:eastAsia="en-NZ"/>
              </w:rPr>
              <w:t>54</w:t>
            </w:r>
          </w:p>
        </w:tc>
        <w:tc>
          <w:tcPr>
            <w:tcW w:w="976" w:type="dxa"/>
            <w:tcBorders>
              <w:top w:val="nil"/>
              <w:left w:val="nil"/>
              <w:bottom w:val="nil"/>
              <w:right w:val="nil"/>
            </w:tcBorders>
            <w:shd w:val="clear" w:color="auto" w:fill="auto"/>
            <w:noWrap/>
            <w:vAlign w:val="bottom"/>
            <w:hideMark/>
          </w:tcPr>
          <w:p w14:paraId="092F423E" w14:textId="77777777" w:rsidR="00383CEB" w:rsidRPr="00383CEB" w:rsidRDefault="00383CEB" w:rsidP="00383CEB">
            <w:pPr>
              <w:spacing w:after="0" w:line="240" w:lineRule="auto"/>
              <w:jc w:val="right"/>
              <w:rPr>
                <w:rFonts w:ascii="Calibri" w:eastAsia="Times New Roman" w:hAnsi="Calibri" w:cs="Calibri"/>
                <w:color w:val="000000"/>
                <w:lang w:eastAsia="en-NZ"/>
              </w:rPr>
            </w:pPr>
            <w:r w:rsidRPr="00383CEB">
              <w:rPr>
                <w:rFonts w:ascii="Calibri" w:eastAsia="Times New Roman" w:hAnsi="Calibri" w:cs="Calibri"/>
                <w:color w:val="000000"/>
                <w:lang w:eastAsia="en-NZ"/>
              </w:rPr>
              <w:t>46</w:t>
            </w:r>
          </w:p>
        </w:tc>
        <w:tc>
          <w:tcPr>
            <w:tcW w:w="976" w:type="dxa"/>
            <w:tcBorders>
              <w:top w:val="nil"/>
              <w:left w:val="nil"/>
              <w:bottom w:val="nil"/>
              <w:right w:val="nil"/>
            </w:tcBorders>
            <w:shd w:val="clear" w:color="auto" w:fill="auto"/>
            <w:noWrap/>
            <w:vAlign w:val="bottom"/>
            <w:hideMark/>
          </w:tcPr>
          <w:p w14:paraId="750CEF88" w14:textId="77777777" w:rsidR="00383CEB" w:rsidRPr="00383CEB" w:rsidRDefault="00383CEB" w:rsidP="00383CEB">
            <w:pPr>
              <w:spacing w:after="0" w:line="240" w:lineRule="auto"/>
              <w:jc w:val="right"/>
              <w:rPr>
                <w:rFonts w:ascii="Calibri" w:eastAsia="Times New Roman" w:hAnsi="Calibri" w:cs="Calibri"/>
                <w:color w:val="000000"/>
                <w:lang w:eastAsia="en-NZ"/>
              </w:rPr>
            </w:pPr>
            <w:r w:rsidRPr="00383CEB">
              <w:rPr>
                <w:rFonts w:ascii="Calibri" w:eastAsia="Times New Roman" w:hAnsi="Calibri" w:cs="Calibri"/>
                <w:color w:val="000000"/>
                <w:lang w:eastAsia="en-NZ"/>
              </w:rPr>
              <w:t>54</w:t>
            </w:r>
          </w:p>
        </w:tc>
        <w:tc>
          <w:tcPr>
            <w:tcW w:w="1296" w:type="dxa"/>
            <w:tcBorders>
              <w:top w:val="nil"/>
              <w:left w:val="nil"/>
              <w:bottom w:val="nil"/>
              <w:right w:val="nil"/>
            </w:tcBorders>
            <w:shd w:val="clear" w:color="auto" w:fill="auto"/>
            <w:noWrap/>
            <w:vAlign w:val="bottom"/>
            <w:hideMark/>
          </w:tcPr>
          <w:p w14:paraId="0C4E184A" w14:textId="77777777" w:rsidR="00383CEB" w:rsidRPr="00383CEB" w:rsidRDefault="00383CEB" w:rsidP="00383CEB">
            <w:pPr>
              <w:spacing w:after="0" w:line="240" w:lineRule="auto"/>
              <w:jc w:val="right"/>
              <w:rPr>
                <w:rFonts w:ascii="Calibri" w:eastAsia="Times New Roman" w:hAnsi="Calibri" w:cs="Calibri"/>
                <w:color w:val="FF0000"/>
                <w:lang w:eastAsia="en-NZ"/>
              </w:rPr>
            </w:pPr>
            <w:r w:rsidRPr="00383CEB">
              <w:rPr>
                <w:rFonts w:ascii="Calibri" w:eastAsia="Times New Roman" w:hAnsi="Calibri" w:cs="Calibri"/>
                <w:color w:val="FF0000"/>
                <w:lang w:eastAsia="en-NZ"/>
              </w:rPr>
              <w:t>-1</w:t>
            </w:r>
          </w:p>
        </w:tc>
        <w:tc>
          <w:tcPr>
            <w:tcW w:w="1256" w:type="dxa"/>
            <w:tcBorders>
              <w:top w:val="nil"/>
              <w:left w:val="nil"/>
              <w:bottom w:val="nil"/>
              <w:right w:val="nil"/>
            </w:tcBorders>
            <w:shd w:val="clear" w:color="auto" w:fill="auto"/>
            <w:noWrap/>
            <w:vAlign w:val="bottom"/>
            <w:hideMark/>
          </w:tcPr>
          <w:p w14:paraId="2B06874E" w14:textId="77777777" w:rsidR="00383CEB" w:rsidRPr="00383CEB" w:rsidRDefault="00383CEB" w:rsidP="00383CEB">
            <w:pPr>
              <w:spacing w:after="0" w:line="240" w:lineRule="auto"/>
              <w:jc w:val="right"/>
              <w:rPr>
                <w:rFonts w:ascii="Calibri" w:eastAsia="Times New Roman" w:hAnsi="Calibri" w:cs="Calibri"/>
                <w:color w:val="00B050"/>
                <w:lang w:eastAsia="en-NZ"/>
              </w:rPr>
            </w:pPr>
            <w:r w:rsidRPr="00383CEB">
              <w:rPr>
                <w:rFonts w:ascii="Calibri" w:eastAsia="Times New Roman" w:hAnsi="Calibri" w:cs="Calibri"/>
                <w:color w:val="00B050"/>
                <w:lang w:eastAsia="en-NZ"/>
              </w:rPr>
              <w:t>8</w:t>
            </w:r>
          </w:p>
        </w:tc>
      </w:tr>
    </w:tbl>
    <w:p w14:paraId="66688108" w14:textId="522AF895" w:rsidR="00D30EA4" w:rsidRPr="00C97701" w:rsidRDefault="00D30EA4" w:rsidP="002357E2">
      <w:pPr>
        <w:rPr>
          <w:sz w:val="24"/>
          <w:szCs w:val="24"/>
        </w:rPr>
      </w:pPr>
    </w:p>
    <w:p w14:paraId="558F3C73" w14:textId="09362832" w:rsidR="00D30EA4" w:rsidRPr="004B4376" w:rsidRDefault="00383CEB" w:rsidP="002357E2">
      <w:pPr>
        <w:rPr>
          <w:sz w:val="24"/>
          <w:szCs w:val="24"/>
        </w:rPr>
      </w:pPr>
      <w:r>
        <w:rPr>
          <w:sz w:val="24"/>
          <w:szCs w:val="24"/>
        </w:rPr>
        <w:br/>
      </w:r>
      <w:r>
        <w:rPr>
          <w:sz w:val="24"/>
          <w:szCs w:val="24"/>
        </w:rPr>
        <w:br/>
      </w:r>
      <w:r>
        <w:rPr>
          <w:noProof/>
        </w:rPr>
        <w:drawing>
          <wp:inline distT="0" distB="0" distL="0" distR="0" wp14:anchorId="7EB207C4" wp14:editId="039271A9">
            <wp:extent cx="5543550" cy="2774950"/>
            <wp:effectExtent l="0" t="0" r="0" b="6350"/>
            <wp:docPr id="1" name="Chart 1">
              <a:extLst xmlns:a="http://schemas.openxmlformats.org/drawingml/2006/main">
                <a:ext uri="{FF2B5EF4-FFF2-40B4-BE49-F238E27FC236}">
                  <a16:creationId xmlns:a16="http://schemas.microsoft.com/office/drawing/2014/main" id="{7B7D7020-CCED-41F3-A628-605AB42519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F5EAE07" w14:textId="327F6290" w:rsidR="00E87FAA" w:rsidRDefault="00E87FAA" w:rsidP="002357E2">
      <w:pPr>
        <w:rPr>
          <w:b/>
          <w:sz w:val="24"/>
          <w:szCs w:val="24"/>
        </w:rPr>
      </w:pPr>
    </w:p>
    <w:p w14:paraId="327BB468" w14:textId="56509CAD" w:rsidR="00FE674F" w:rsidRDefault="008E4E0A" w:rsidP="002357E2">
      <w:pPr>
        <w:rPr>
          <w:sz w:val="24"/>
          <w:szCs w:val="24"/>
        </w:rPr>
      </w:pPr>
      <w:r w:rsidRPr="00FC4825">
        <w:rPr>
          <w:sz w:val="24"/>
          <w:szCs w:val="24"/>
        </w:rPr>
        <w:lastRenderedPageBreak/>
        <w:t xml:space="preserve">Some notable </w:t>
      </w:r>
      <w:r w:rsidR="00FC4825" w:rsidRPr="00FC4825">
        <w:rPr>
          <w:sz w:val="24"/>
          <w:szCs w:val="24"/>
        </w:rPr>
        <w:t>results are:</w:t>
      </w:r>
    </w:p>
    <w:p w14:paraId="1DF90975" w14:textId="1FA55CFA" w:rsidR="00F4601D" w:rsidRDefault="008D1245" w:rsidP="00F4601D">
      <w:pPr>
        <w:pStyle w:val="ListParagraph"/>
        <w:numPr>
          <w:ilvl w:val="0"/>
          <w:numId w:val="23"/>
        </w:numPr>
        <w:rPr>
          <w:sz w:val="24"/>
          <w:szCs w:val="24"/>
        </w:rPr>
      </w:pPr>
      <w:r>
        <w:rPr>
          <w:sz w:val="24"/>
          <w:szCs w:val="24"/>
        </w:rPr>
        <w:t>Major</w:t>
      </w:r>
      <w:r w:rsidR="00F4601D">
        <w:rPr>
          <w:sz w:val="24"/>
          <w:szCs w:val="24"/>
        </w:rPr>
        <w:t xml:space="preserve"> improvements from </w:t>
      </w:r>
      <w:r w:rsidR="0023100F">
        <w:rPr>
          <w:sz w:val="24"/>
          <w:szCs w:val="24"/>
        </w:rPr>
        <w:t>a country’s</w:t>
      </w:r>
      <w:r w:rsidR="00F4601D">
        <w:rPr>
          <w:sz w:val="24"/>
          <w:szCs w:val="24"/>
        </w:rPr>
        <w:t xml:space="preserve"> first survey to the 2017 survey </w:t>
      </w:r>
      <w:r w:rsidR="007D72D9">
        <w:rPr>
          <w:sz w:val="24"/>
          <w:szCs w:val="24"/>
        </w:rPr>
        <w:t xml:space="preserve">were made by </w:t>
      </w:r>
      <w:r w:rsidR="0030433F">
        <w:rPr>
          <w:sz w:val="24"/>
          <w:szCs w:val="24"/>
        </w:rPr>
        <w:t>the Dominican Republic (54</w:t>
      </w:r>
      <w:r w:rsidR="00734733">
        <w:rPr>
          <w:sz w:val="24"/>
          <w:szCs w:val="24"/>
        </w:rPr>
        <w:t xml:space="preserve"> points on the OBI</w:t>
      </w:r>
      <w:r w:rsidR="0030433F">
        <w:rPr>
          <w:sz w:val="24"/>
          <w:szCs w:val="24"/>
        </w:rPr>
        <w:t xml:space="preserve">), Benin (38), </w:t>
      </w:r>
      <w:r w:rsidR="00B96C6B">
        <w:rPr>
          <w:sz w:val="24"/>
          <w:szCs w:val="24"/>
        </w:rPr>
        <w:t>Liberia (33)</w:t>
      </w:r>
      <w:r w:rsidR="00B37399">
        <w:rPr>
          <w:sz w:val="24"/>
          <w:szCs w:val="24"/>
        </w:rPr>
        <w:t xml:space="preserve">, </w:t>
      </w:r>
      <w:r w:rsidR="00766757">
        <w:rPr>
          <w:sz w:val="24"/>
          <w:szCs w:val="24"/>
        </w:rPr>
        <w:t>Mexico (2</w:t>
      </w:r>
      <w:r w:rsidR="0023100F">
        <w:rPr>
          <w:sz w:val="24"/>
          <w:szCs w:val="24"/>
        </w:rPr>
        <w:t>9</w:t>
      </w:r>
      <w:r w:rsidR="00766757">
        <w:rPr>
          <w:sz w:val="24"/>
          <w:szCs w:val="24"/>
        </w:rPr>
        <w:t xml:space="preserve">), </w:t>
      </w:r>
      <w:r w:rsidR="0030433F">
        <w:rPr>
          <w:sz w:val="24"/>
          <w:szCs w:val="24"/>
        </w:rPr>
        <w:t>Tunisia (28)</w:t>
      </w:r>
      <w:r>
        <w:rPr>
          <w:sz w:val="24"/>
          <w:szCs w:val="24"/>
        </w:rPr>
        <w:t>, and Indonesia</w:t>
      </w:r>
      <w:r w:rsidR="00B96C6B">
        <w:rPr>
          <w:sz w:val="24"/>
          <w:szCs w:val="24"/>
        </w:rPr>
        <w:t xml:space="preserve"> and Egyp</w:t>
      </w:r>
      <w:r w:rsidR="00B37399">
        <w:rPr>
          <w:sz w:val="24"/>
          <w:szCs w:val="24"/>
        </w:rPr>
        <w:t>t</w:t>
      </w:r>
      <w:r>
        <w:rPr>
          <w:sz w:val="24"/>
          <w:szCs w:val="24"/>
        </w:rPr>
        <w:t xml:space="preserve"> (22).</w:t>
      </w:r>
    </w:p>
    <w:p w14:paraId="433B4F6F" w14:textId="79E82E67" w:rsidR="008D1245" w:rsidRDefault="008D1245" w:rsidP="00F4601D">
      <w:pPr>
        <w:pStyle w:val="ListParagraph"/>
        <w:numPr>
          <w:ilvl w:val="0"/>
          <w:numId w:val="23"/>
        </w:numPr>
        <w:rPr>
          <w:sz w:val="24"/>
          <w:szCs w:val="24"/>
        </w:rPr>
      </w:pPr>
      <w:r>
        <w:rPr>
          <w:sz w:val="24"/>
          <w:szCs w:val="24"/>
        </w:rPr>
        <w:t xml:space="preserve">Significant improvements between the 2015 and 2017 surveys were made by </w:t>
      </w:r>
      <w:r w:rsidR="00B37399">
        <w:rPr>
          <w:sz w:val="24"/>
          <w:szCs w:val="24"/>
        </w:rPr>
        <w:t xml:space="preserve">Egypt (25), </w:t>
      </w:r>
      <w:r w:rsidR="00003EF0">
        <w:rPr>
          <w:sz w:val="24"/>
          <w:szCs w:val="24"/>
        </w:rPr>
        <w:t>the Dominican Republic (15), Guatemala (15), Mexico (13) and Ukraine (8).</w:t>
      </w:r>
    </w:p>
    <w:p w14:paraId="604027D6" w14:textId="3ED85933" w:rsidR="00003EF0" w:rsidRDefault="00BE3C9E" w:rsidP="00F4601D">
      <w:pPr>
        <w:pStyle w:val="ListParagraph"/>
        <w:numPr>
          <w:ilvl w:val="0"/>
          <w:numId w:val="23"/>
        </w:numPr>
        <w:rPr>
          <w:sz w:val="24"/>
          <w:szCs w:val="24"/>
        </w:rPr>
      </w:pPr>
      <w:r>
        <w:rPr>
          <w:sz w:val="24"/>
          <w:szCs w:val="24"/>
        </w:rPr>
        <w:t>Sign</w:t>
      </w:r>
      <w:r w:rsidR="00B83FA2">
        <w:rPr>
          <w:sz w:val="24"/>
          <w:szCs w:val="24"/>
        </w:rPr>
        <w:t>ificant declines</w:t>
      </w:r>
      <w:r w:rsidR="00B172C5">
        <w:rPr>
          <w:sz w:val="24"/>
          <w:szCs w:val="24"/>
        </w:rPr>
        <w:t xml:space="preserve"> </w:t>
      </w:r>
      <w:r>
        <w:rPr>
          <w:sz w:val="24"/>
          <w:szCs w:val="24"/>
        </w:rPr>
        <w:t xml:space="preserve">from a country’s first survey to the 2017 survey were </w:t>
      </w:r>
      <w:r w:rsidR="00B172C5">
        <w:rPr>
          <w:sz w:val="24"/>
          <w:szCs w:val="24"/>
        </w:rPr>
        <w:t>registered</w:t>
      </w:r>
      <w:r>
        <w:rPr>
          <w:sz w:val="24"/>
          <w:szCs w:val="24"/>
        </w:rPr>
        <w:t xml:space="preserve"> by </w:t>
      </w:r>
      <w:r w:rsidR="00B172C5">
        <w:rPr>
          <w:sz w:val="24"/>
          <w:szCs w:val="24"/>
        </w:rPr>
        <w:t>Chile (-15), and Colombia (-</w:t>
      </w:r>
      <w:r w:rsidR="00A230FD">
        <w:rPr>
          <w:sz w:val="24"/>
          <w:szCs w:val="24"/>
        </w:rPr>
        <w:t xml:space="preserve">7). </w:t>
      </w:r>
    </w:p>
    <w:p w14:paraId="0CE2D5C4" w14:textId="25512749" w:rsidR="00A230FD" w:rsidRDefault="007E739B" w:rsidP="00F4601D">
      <w:pPr>
        <w:pStyle w:val="ListParagraph"/>
        <w:numPr>
          <w:ilvl w:val="0"/>
          <w:numId w:val="23"/>
        </w:numPr>
        <w:rPr>
          <w:sz w:val="24"/>
          <w:szCs w:val="24"/>
        </w:rPr>
      </w:pPr>
      <w:r>
        <w:rPr>
          <w:sz w:val="24"/>
          <w:szCs w:val="24"/>
        </w:rPr>
        <w:t xml:space="preserve">Significant declines </w:t>
      </w:r>
      <w:r w:rsidR="00C33185">
        <w:rPr>
          <w:sz w:val="24"/>
          <w:szCs w:val="24"/>
        </w:rPr>
        <w:t xml:space="preserve">between the 2015 and 2017 surveys were </w:t>
      </w:r>
      <w:r>
        <w:rPr>
          <w:sz w:val="24"/>
          <w:szCs w:val="24"/>
        </w:rPr>
        <w:t>registered by</w:t>
      </w:r>
      <w:r w:rsidR="00C33185">
        <w:rPr>
          <w:sz w:val="24"/>
          <w:szCs w:val="24"/>
        </w:rPr>
        <w:t xml:space="preserve"> Argentina (-</w:t>
      </w:r>
      <w:r w:rsidR="00AE3FB5">
        <w:rPr>
          <w:sz w:val="24"/>
          <w:szCs w:val="24"/>
        </w:rPr>
        <w:t xml:space="preserve">9), El Salvador (-8), </w:t>
      </w:r>
      <w:r w:rsidR="00CD5194">
        <w:rPr>
          <w:sz w:val="24"/>
          <w:szCs w:val="24"/>
        </w:rPr>
        <w:t>Colombia (-7),</w:t>
      </w:r>
      <w:r w:rsidR="00BC2F58">
        <w:rPr>
          <w:sz w:val="24"/>
          <w:szCs w:val="24"/>
        </w:rPr>
        <w:t xml:space="preserve"> </w:t>
      </w:r>
      <w:r w:rsidR="00CD5194">
        <w:rPr>
          <w:sz w:val="24"/>
          <w:szCs w:val="24"/>
        </w:rPr>
        <w:t xml:space="preserve">Nigeria (-7), and Benin (-6). </w:t>
      </w:r>
    </w:p>
    <w:p w14:paraId="355CD451" w14:textId="64F4741B" w:rsidR="00AE3706" w:rsidRDefault="00B37399" w:rsidP="00AE3706">
      <w:pPr>
        <w:pStyle w:val="ListParagraph"/>
        <w:numPr>
          <w:ilvl w:val="0"/>
          <w:numId w:val="23"/>
        </w:numPr>
        <w:rPr>
          <w:sz w:val="24"/>
          <w:szCs w:val="24"/>
        </w:rPr>
      </w:pPr>
      <w:r>
        <w:rPr>
          <w:sz w:val="24"/>
          <w:szCs w:val="24"/>
        </w:rPr>
        <w:t xml:space="preserve">Twelve </w:t>
      </w:r>
      <w:r w:rsidR="00AE3706" w:rsidRPr="00AE3706">
        <w:rPr>
          <w:sz w:val="24"/>
          <w:szCs w:val="24"/>
        </w:rPr>
        <w:t xml:space="preserve">of the </w:t>
      </w:r>
      <w:r>
        <w:rPr>
          <w:sz w:val="24"/>
          <w:szCs w:val="24"/>
        </w:rPr>
        <w:t>20</w:t>
      </w:r>
      <w:r w:rsidR="00AE3706" w:rsidRPr="00AE3706">
        <w:rPr>
          <w:sz w:val="24"/>
          <w:szCs w:val="24"/>
        </w:rPr>
        <w:t xml:space="preserve"> countries (</w:t>
      </w:r>
      <w:r w:rsidR="003268BC">
        <w:rPr>
          <w:sz w:val="24"/>
          <w:szCs w:val="24"/>
        </w:rPr>
        <w:t>60</w:t>
      </w:r>
      <w:r w:rsidR="00AE3706">
        <w:rPr>
          <w:sz w:val="24"/>
          <w:szCs w:val="24"/>
        </w:rPr>
        <w:t>%</w:t>
      </w:r>
      <w:r w:rsidR="00AE3706" w:rsidRPr="00AE3706">
        <w:rPr>
          <w:sz w:val="24"/>
          <w:szCs w:val="24"/>
        </w:rPr>
        <w:t>) failed to provide what the International Budget Partnership defines as ‘</w:t>
      </w:r>
      <w:proofErr w:type="gramStart"/>
      <w:r w:rsidR="00AE3706" w:rsidRPr="00AE3706">
        <w:rPr>
          <w:sz w:val="24"/>
          <w:szCs w:val="24"/>
        </w:rPr>
        <w:t>sufficient</w:t>
      </w:r>
      <w:proofErr w:type="gramEnd"/>
      <w:r w:rsidR="00AE3706" w:rsidRPr="00AE3706">
        <w:rPr>
          <w:sz w:val="24"/>
          <w:szCs w:val="24"/>
        </w:rPr>
        <w:t xml:space="preserve"> information to the public on their national budgets’ i.e. they received scores of 60 or less on the Open Budget Index (OBI). </w:t>
      </w:r>
      <w:r w:rsidR="00AE3706">
        <w:rPr>
          <w:sz w:val="24"/>
          <w:szCs w:val="24"/>
        </w:rPr>
        <w:t>This compares to 75% of all countries in the 2017 OBS.</w:t>
      </w:r>
    </w:p>
    <w:p w14:paraId="06D7CC87" w14:textId="74979647" w:rsidR="00AE3706" w:rsidRDefault="00AE3706" w:rsidP="00AE3706">
      <w:pPr>
        <w:pStyle w:val="ListParagraph"/>
        <w:numPr>
          <w:ilvl w:val="0"/>
          <w:numId w:val="23"/>
        </w:numPr>
        <w:rPr>
          <w:sz w:val="24"/>
          <w:szCs w:val="24"/>
        </w:rPr>
      </w:pPr>
      <w:r>
        <w:rPr>
          <w:sz w:val="24"/>
          <w:szCs w:val="24"/>
        </w:rPr>
        <w:t>Only South Africa reaches the IBP’s threshold of publishing ‘extensive information on the budget.’</w:t>
      </w:r>
    </w:p>
    <w:p w14:paraId="5F6C640D" w14:textId="4EFCFF1E" w:rsidR="00AE3706" w:rsidRPr="00AE3706" w:rsidRDefault="00AE3706" w:rsidP="00AE3706">
      <w:pPr>
        <w:pStyle w:val="ListParagraph"/>
        <w:numPr>
          <w:ilvl w:val="0"/>
          <w:numId w:val="23"/>
        </w:numPr>
        <w:rPr>
          <w:sz w:val="24"/>
          <w:szCs w:val="24"/>
        </w:rPr>
      </w:pPr>
      <w:r>
        <w:rPr>
          <w:sz w:val="24"/>
          <w:szCs w:val="24"/>
        </w:rPr>
        <w:t>Tunisia did not publish the audit report</w:t>
      </w:r>
      <w:r w:rsidR="003268BC">
        <w:rPr>
          <w:sz w:val="24"/>
          <w:szCs w:val="24"/>
        </w:rPr>
        <w:t xml:space="preserve"> as at end-2016</w:t>
      </w:r>
      <w:r>
        <w:rPr>
          <w:sz w:val="24"/>
          <w:szCs w:val="24"/>
        </w:rPr>
        <w:t>, one of the two most basic documents for budget transparency, and a minimum requirement for membership of the OGP.</w:t>
      </w:r>
    </w:p>
    <w:p w14:paraId="44D828BE" w14:textId="7F115961" w:rsidR="00E90FC6" w:rsidRDefault="00BC2F58" w:rsidP="002357E2">
      <w:pPr>
        <w:rPr>
          <w:sz w:val="24"/>
          <w:szCs w:val="24"/>
        </w:rPr>
      </w:pPr>
      <w:r w:rsidRPr="00C45B70">
        <w:rPr>
          <w:sz w:val="24"/>
          <w:szCs w:val="24"/>
        </w:rPr>
        <w:t xml:space="preserve">An alternative way to assess performance is to compare each country against </w:t>
      </w:r>
      <w:r w:rsidR="00C45B70" w:rsidRPr="00C45B70">
        <w:rPr>
          <w:sz w:val="24"/>
          <w:szCs w:val="24"/>
        </w:rPr>
        <w:t>its peer group</w:t>
      </w:r>
      <w:r w:rsidR="00734733">
        <w:rPr>
          <w:sz w:val="24"/>
          <w:szCs w:val="24"/>
        </w:rPr>
        <w:t>,</w:t>
      </w:r>
      <w:r w:rsidR="00BA2784">
        <w:rPr>
          <w:sz w:val="24"/>
          <w:szCs w:val="24"/>
        </w:rPr>
        <w:t xml:space="preserve"> to recognize capacity constraints and other contextual factors</w:t>
      </w:r>
      <w:r w:rsidR="00C45B70" w:rsidRPr="00C45B70">
        <w:rPr>
          <w:sz w:val="24"/>
          <w:szCs w:val="24"/>
        </w:rPr>
        <w:t xml:space="preserve">. </w:t>
      </w:r>
    </w:p>
    <w:p w14:paraId="63C58EF0" w14:textId="457C5EE1" w:rsidR="00C45B70" w:rsidRPr="00C45B70" w:rsidRDefault="00C45B70" w:rsidP="002357E2">
      <w:pPr>
        <w:rPr>
          <w:sz w:val="24"/>
          <w:szCs w:val="24"/>
        </w:rPr>
      </w:pPr>
      <w:r>
        <w:rPr>
          <w:sz w:val="24"/>
          <w:szCs w:val="24"/>
        </w:rPr>
        <w:t>Figure 2 shows</w:t>
      </w:r>
      <w:r w:rsidR="00085568">
        <w:rPr>
          <w:sz w:val="24"/>
          <w:szCs w:val="24"/>
        </w:rPr>
        <w:t xml:space="preserve"> the gap between </w:t>
      </w:r>
      <w:r w:rsidR="002B4AEE">
        <w:rPr>
          <w:sz w:val="24"/>
          <w:szCs w:val="24"/>
        </w:rPr>
        <w:t xml:space="preserve">each </w:t>
      </w:r>
      <w:r w:rsidR="0007114E">
        <w:rPr>
          <w:sz w:val="24"/>
          <w:szCs w:val="24"/>
        </w:rPr>
        <w:t xml:space="preserve">of the 18 </w:t>
      </w:r>
      <w:r w:rsidR="00BC473A">
        <w:rPr>
          <w:sz w:val="24"/>
          <w:szCs w:val="24"/>
        </w:rPr>
        <w:t>steward</w:t>
      </w:r>
      <w:r w:rsidR="00EF4462">
        <w:rPr>
          <w:sz w:val="24"/>
          <w:szCs w:val="24"/>
        </w:rPr>
        <w:t>s</w:t>
      </w:r>
      <w:r w:rsidR="005B19ED">
        <w:rPr>
          <w:sz w:val="24"/>
          <w:szCs w:val="24"/>
        </w:rPr>
        <w:t xml:space="preserve"> </w:t>
      </w:r>
      <w:r w:rsidR="002B4AEE">
        <w:rPr>
          <w:sz w:val="24"/>
          <w:szCs w:val="24"/>
        </w:rPr>
        <w:t>OBI score</w:t>
      </w:r>
      <w:r w:rsidR="0007114E">
        <w:rPr>
          <w:sz w:val="24"/>
          <w:szCs w:val="24"/>
        </w:rPr>
        <w:t>s</w:t>
      </w:r>
      <w:r w:rsidR="002B4AEE">
        <w:rPr>
          <w:sz w:val="24"/>
          <w:szCs w:val="24"/>
        </w:rPr>
        <w:t xml:space="preserve"> and the score of the highest </w:t>
      </w:r>
      <w:r w:rsidR="001B30F3">
        <w:rPr>
          <w:sz w:val="24"/>
          <w:szCs w:val="24"/>
        </w:rPr>
        <w:t xml:space="preserve">scoring country in its peer group – defined as World Bank country </w:t>
      </w:r>
      <w:r w:rsidR="00183449">
        <w:rPr>
          <w:sz w:val="24"/>
          <w:szCs w:val="24"/>
        </w:rPr>
        <w:t xml:space="preserve">income </w:t>
      </w:r>
      <w:r w:rsidR="001B30F3">
        <w:rPr>
          <w:sz w:val="24"/>
          <w:szCs w:val="24"/>
        </w:rPr>
        <w:t>group (low income, lower middle income</w:t>
      </w:r>
      <w:r w:rsidR="00183449">
        <w:rPr>
          <w:sz w:val="24"/>
          <w:szCs w:val="24"/>
        </w:rPr>
        <w:t>,</w:t>
      </w:r>
      <w:r w:rsidR="00320C2E">
        <w:rPr>
          <w:sz w:val="24"/>
          <w:szCs w:val="24"/>
        </w:rPr>
        <w:t xml:space="preserve"> </w:t>
      </w:r>
      <w:r w:rsidR="00183449">
        <w:rPr>
          <w:sz w:val="24"/>
          <w:szCs w:val="24"/>
        </w:rPr>
        <w:t>upper middle income, high income)</w:t>
      </w:r>
      <w:r w:rsidR="00320C2E">
        <w:rPr>
          <w:sz w:val="24"/>
          <w:szCs w:val="24"/>
        </w:rPr>
        <w:t>.</w:t>
      </w:r>
      <w:r w:rsidR="00320C2E">
        <w:rPr>
          <w:rStyle w:val="FootnoteReference"/>
          <w:sz w:val="24"/>
          <w:szCs w:val="24"/>
        </w:rPr>
        <w:footnoteReference w:id="1"/>
      </w:r>
    </w:p>
    <w:p w14:paraId="148C421C" w14:textId="19B28252" w:rsidR="00E87FAA" w:rsidRDefault="00E87FAA" w:rsidP="002357E2">
      <w:pPr>
        <w:rPr>
          <w:b/>
          <w:sz w:val="24"/>
          <w:szCs w:val="24"/>
        </w:rPr>
      </w:pPr>
    </w:p>
    <w:p w14:paraId="703E46D9" w14:textId="0DA459D9" w:rsidR="008B066D" w:rsidRDefault="008B066D" w:rsidP="002357E2">
      <w:pPr>
        <w:rPr>
          <w:b/>
          <w:sz w:val="24"/>
          <w:szCs w:val="24"/>
        </w:rPr>
      </w:pPr>
    </w:p>
    <w:p w14:paraId="751799BE" w14:textId="25720BE8" w:rsidR="008B066D" w:rsidRDefault="008B066D" w:rsidP="002357E2">
      <w:pPr>
        <w:rPr>
          <w:b/>
          <w:sz w:val="24"/>
          <w:szCs w:val="24"/>
        </w:rPr>
      </w:pPr>
    </w:p>
    <w:p w14:paraId="233F7CC1" w14:textId="55A1B7CD" w:rsidR="008B066D" w:rsidRDefault="008B066D" w:rsidP="002357E2">
      <w:pPr>
        <w:rPr>
          <w:b/>
          <w:sz w:val="24"/>
          <w:szCs w:val="24"/>
        </w:rPr>
      </w:pPr>
    </w:p>
    <w:p w14:paraId="38151C73" w14:textId="1CF12D9D" w:rsidR="008B066D" w:rsidRDefault="008B066D" w:rsidP="002357E2">
      <w:pPr>
        <w:rPr>
          <w:b/>
          <w:sz w:val="24"/>
          <w:szCs w:val="24"/>
        </w:rPr>
      </w:pPr>
    </w:p>
    <w:p w14:paraId="6B6F9E99" w14:textId="3424471F" w:rsidR="008B066D" w:rsidRDefault="008B066D" w:rsidP="002357E2">
      <w:pPr>
        <w:rPr>
          <w:b/>
          <w:sz w:val="24"/>
          <w:szCs w:val="24"/>
        </w:rPr>
      </w:pPr>
    </w:p>
    <w:p w14:paraId="6EC94DB2" w14:textId="3BB692E9" w:rsidR="008B066D" w:rsidRDefault="008B066D" w:rsidP="002357E2">
      <w:pPr>
        <w:rPr>
          <w:b/>
          <w:sz w:val="24"/>
          <w:szCs w:val="24"/>
        </w:rPr>
      </w:pPr>
    </w:p>
    <w:p w14:paraId="24D45832" w14:textId="4A0C4102" w:rsidR="00CF13AA" w:rsidRDefault="008B066D" w:rsidP="002357E2">
      <w:pPr>
        <w:rPr>
          <w:sz w:val="24"/>
          <w:szCs w:val="24"/>
        </w:rPr>
      </w:pPr>
      <w:r>
        <w:rPr>
          <w:noProof/>
        </w:rPr>
        <w:lastRenderedPageBreak/>
        <w:drawing>
          <wp:inline distT="0" distB="0" distL="0" distR="0" wp14:anchorId="5326C9DC" wp14:editId="07C21E67">
            <wp:extent cx="5886450" cy="3200400"/>
            <wp:effectExtent l="0" t="0" r="0" b="0"/>
            <wp:docPr id="3" name="Chart 3">
              <a:extLst xmlns:a="http://schemas.openxmlformats.org/drawingml/2006/main">
                <a:ext uri="{FF2B5EF4-FFF2-40B4-BE49-F238E27FC236}">
                  <a16:creationId xmlns:a16="http://schemas.microsoft.com/office/drawing/2014/main" id="{520EF977-771B-44C4-9542-9612AC03493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7239094" w14:textId="57D94139" w:rsidR="00E87FAA" w:rsidRPr="00734733" w:rsidRDefault="00E84F8F" w:rsidP="002357E2">
      <w:pPr>
        <w:rPr>
          <w:sz w:val="24"/>
          <w:szCs w:val="24"/>
        </w:rPr>
      </w:pPr>
      <w:r w:rsidRPr="00734733">
        <w:rPr>
          <w:sz w:val="24"/>
          <w:szCs w:val="24"/>
        </w:rPr>
        <w:t xml:space="preserve">Figure </w:t>
      </w:r>
      <w:r w:rsidR="0051797E" w:rsidRPr="00734733">
        <w:rPr>
          <w:sz w:val="24"/>
          <w:szCs w:val="24"/>
        </w:rPr>
        <w:t>2</w:t>
      </w:r>
      <w:r w:rsidRPr="00734733">
        <w:rPr>
          <w:sz w:val="24"/>
          <w:szCs w:val="24"/>
        </w:rPr>
        <w:t xml:space="preserve"> shows that </w:t>
      </w:r>
      <w:bookmarkStart w:id="8" w:name="_Hlk525319956"/>
      <w:r w:rsidR="00C3607F">
        <w:rPr>
          <w:sz w:val="24"/>
          <w:szCs w:val="24"/>
        </w:rPr>
        <w:t>1</w:t>
      </w:r>
      <w:r w:rsidR="008B066D">
        <w:rPr>
          <w:sz w:val="24"/>
          <w:szCs w:val="24"/>
        </w:rPr>
        <w:t>2</w:t>
      </w:r>
      <w:r w:rsidR="00C3607F">
        <w:rPr>
          <w:sz w:val="24"/>
          <w:szCs w:val="24"/>
        </w:rPr>
        <w:t xml:space="preserve"> of </w:t>
      </w:r>
      <w:r w:rsidR="0007114E">
        <w:rPr>
          <w:sz w:val="24"/>
          <w:szCs w:val="24"/>
        </w:rPr>
        <w:t xml:space="preserve">the </w:t>
      </w:r>
      <w:r w:rsidR="008B066D">
        <w:rPr>
          <w:sz w:val="24"/>
          <w:szCs w:val="24"/>
        </w:rPr>
        <w:t>18</w:t>
      </w:r>
      <w:r w:rsidR="00CD6D65">
        <w:rPr>
          <w:sz w:val="24"/>
          <w:szCs w:val="24"/>
        </w:rPr>
        <w:t xml:space="preserve"> (</w:t>
      </w:r>
      <w:r w:rsidR="0007114E">
        <w:rPr>
          <w:sz w:val="24"/>
          <w:szCs w:val="24"/>
        </w:rPr>
        <w:t>67</w:t>
      </w:r>
      <w:r w:rsidR="00900C55">
        <w:rPr>
          <w:sz w:val="24"/>
          <w:szCs w:val="24"/>
        </w:rPr>
        <w:t>%</w:t>
      </w:r>
      <w:r w:rsidR="00CD6D65">
        <w:rPr>
          <w:sz w:val="24"/>
          <w:szCs w:val="24"/>
        </w:rPr>
        <w:t>)</w:t>
      </w:r>
      <w:r w:rsidR="00900C55">
        <w:rPr>
          <w:sz w:val="24"/>
          <w:szCs w:val="24"/>
        </w:rPr>
        <w:t xml:space="preserve"> </w:t>
      </w:r>
      <w:r w:rsidRPr="00734733">
        <w:rPr>
          <w:sz w:val="24"/>
          <w:szCs w:val="24"/>
        </w:rPr>
        <w:t>GIFT government stewards</w:t>
      </w:r>
      <w:r w:rsidR="00900C55">
        <w:rPr>
          <w:sz w:val="24"/>
          <w:szCs w:val="24"/>
        </w:rPr>
        <w:t xml:space="preserve"> </w:t>
      </w:r>
      <w:r w:rsidRPr="00734733">
        <w:rPr>
          <w:sz w:val="24"/>
          <w:szCs w:val="24"/>
        </w:rPr>
        <w:t xml:space="preserve">have a </w:t>
      </w:r>
      <w:r w:rsidR="0051797E" w:rsidRPr="00734733">
        <w:rPr>
          <w:sz w:val="24"/>
          <w:szCs w:val="24"/>
        </w:rPr>
        <w:t>budget transparency gap of more than 20 points on the OBI</w:t>
      </w:r>
      <w:r w:rsidR="00485CC2">
        <w:rPr>
          <w:sz w:val="24"/>
          <w:szCs w:val="24"/>
        </w:rPr>
        <w:t xml:space="preserve"> against their global peer group leader</w:t>
      </w:r>
      <w:r w:rsidR="0051797E" w:rsidRPr="00734733">
        <w:rPr>
          <w:sz w:val="24"/>
          <w:szCs w:val="24"/>
        </w:rPr>
        <w:t>.</w:t>
      </w:r>
    </w:p>
    <w:bookmarkEnd w:id="8"/>
    <w:p w14:paraId="6BB8DABF" w14:textId="5C54B27B" w:rsidR="00CE5B80" w:rsidRDefault="006170C2" w:rsidP="002357E2">
      <w:pPr>
        <w:rPr>
          <w:b/>
          <w:sz w:val="24"/>
          <w:szCs w:val="24"/>
        </w:rPr>
      </w:pPr>
      <w:r w:rsidRPr="006170C2">
        <w:rPr>
          <w:sz w:val="24"/>
          <w:szCs w:val="24"/>
        </w:rPr>
        <w:t xml:space="preserve">Finally, </w:t>
      </w:r>
      <w:r w:rsidR="00734733">
        <w:rPr>
          <w:sz w:val="24"/>
          <w:szCs w:val="24"/>
        </w:rPr>
        <w:t xml:space="preserve">an assessment of GIFT steward country performance on the public participation questions in the 2017 OBS is presented in </w:t>
      </w:r>
      <w:r w:rsidR="00BE4C82">
        <w:rPr>
          <w:sz w:val="24"/>
          <w:szCs w:val="24"/>
        </w:rPr>
        <w:t>Table 2 and Figure 3.</w:t>
      </w:r>
    </w:p>
    <w:p w14:paraId="239F881F" w14:textId="77777777" w:rsidR="00745318" w:rsidRDefault="00745318" w:rsidP="00745318">
      <w:pPr>
        <w:rPr>
          <w:sz w:val="24"/>
          <w:szCs w:val="24"/>
        </w:rPr>
      </w:pPr>
      <w:bookmarkStart w:id="9" w:name="_Hlk525292676"/>
      <w:r>
        <w:rPr>
          <w:sz w:val="24"/>
          <w:szCs w:val="24"/>
        </w:rPr>
        <w:t>R</w:t>
      </w:r>
      <w:r w:rsidRPr="00BE4C82">
        <w:rPr>
          <w:sz w:val="24"/>
          <w:szCs w:val="24"/>
        </w:rPr>
        <w:t>ecal</w:t>
      </w:r>
      <w:r>
        <w:rPr>
          <w:sz w:val="24"/>
          <w:szCs w:val="24"/>
        </w:rPr>
        <w:t>l</w:t>
      </w:r>
      <w:r w:rsidRPr="00BE4C82">
        <w:rPr>
          <w:sz w:val="24"/>
          <w:szCs w:val="24"/>
        </w:rPr>
        <w:t xml:space="preserve"> that the</w:t>
      </w:r>
      <w:r>
        <w:rPr>
          <w:b/>
          <w:sz w:val="24"/>
          <w:szCs w:val="24"/>
        </w:rPr>
        <w:t xml:space="preserve"> </w:t>
      </w:r>
      <w:r w:rsidRPr="00BE374A">
        <w:rPr>
          <w:sz w:val="24"/>
          <w:szCs w:val="24"/>
        </w:rPr>
        <w:t>global</w:t>
      </w:r>
      <w:r>
        <w:rPr>
          <w:b/>
          <w:sz w:val="24"/>
          <w:szCs w:val="24"/>
        </w:rPr>
        <w:t xml:space="preserve"> </w:t>
      </w:r>
      <w:r w:rsidRPr="00FF6698">
        <w:rPr>
          <w:sz w:val="24"/>
          <w:szCs w:val="24"/>
        </w:rPr>
        <w:t xml:space="preserve">results for participation were very low – the global average score was only </w:t>
      </w:r>
      <w:r>
        <w:rPr>
          <w:sz w:val="24"/>
          <w:szCs w:val="24"/>
        </w:rPr>
        <w:t xml:space="preserve">12 out of 100, </w:t>
      </w:r>
      <w:r w:rsidRPr="00BE374A">
        <w:rPr>
          <w:sz w:val="24"/>
          <w:szCs w:val="24"/>
        </w:rPr>
        <w:t xml:space="preserve">with 111 </w:t>
      </w:r>
      <w:r>
        <w:rPr>
          <w:sz w:val="24"/>
          <w:szCs w:val="24"/>
        </w:rPr>
        <w:t xml:space="preserve">of the 115 </w:t>
      </w:r>
      <w:r w:rsidRPr="00BE374A">
        <w:rPr>
          <w:sz w:val="24"/>
          <w:szCs w:val="24"/>
        </w:rPr>
        <w:t xml:space="preserve">countries </w:t>
      </w:r>
      <w:r>
        <w:rPr>
          <w:sz w:val="24"/>
          <w:szCs w:val="24"/>
        </w:rPr>
        <w:t xml:space="preserve">surveyed </w:t>
      </w:r>
      <w:r w:rsidRPr="00BE374A">
        <w:rPr>
          <w:sz w:val="24"/>
          <w:szCs w:val="24"/>
        </w:rPr>
        <w:t>having weak scores (lower than 41). Only four countries ha</w:t>
      </w:r>
      <w:r>
        <w:rPr>
          <w:sz w:val="24"/>
          <w:szCs w:val="24"/>
        </w:rPr>
        <w:t>d</w:t>
      </w:r>
      <w:r w:rsidRPr="00BE374A">
        <w:rPr>
          <w:sz w:val="24"/>
          <w:szCs w:val="24"/>
        </w:rPr>
        <w:t xml:space="preserve"> scores that </w:t>
      </w:r>
      <w:r>
        <w:rPr>
          <w:sz w:val="24"/>
          <w:szCs w:val="24"/>
        </w:rPr>
        <w:t xml:space="preserve">the IBP defines as </w:t>
      </w:r>
      <w:r w:rsidRPr="00BE374A">
        <w:rPr>
          <w:sz w:val="24"/>
          <w:szCs w:val="24"/>
        </w:rPr>
        <w:t xml:space="preserve">moderate opportunities for public participation (between 41 and 60): Australia, New Zealand, the Philippines, and the United Kingdom. </w:t>
      </w:r>
      <w:r>
        <w:rPr>
          <w:sz w:val="24"/>
          <w:szCs w:val="24"/>
        </w:rPr>
        <w:t xml:space="preserve"> </w:t>
      </w:r>
      <w:r w:rsidRPr="00BE374A">
        <w:rPr>
          <w:sz w:val="24"/>
          <w:szCs w:val="24"/>
        </w:rPr>
        <w:t xml:space="preserve">Not a single country out of the 115 surveyed offers participation opportunities that </w:t>
      </w:r>
      <w:r>
        <w:rPr>
          <w:sz w:val="24"/>
          <w:szCs w:val="24"/>
        </w:rPr>
        <w:t xml:space="preserve">the IBP </w:t>
      </w:r>
      <w:r w:rsidRPr="00BE374A">
        <w:rPr>
          <w:sz w:val="24"/>
          <w:szCs w:val="24"/>
        </w:rPr>
        <w:t>consider</w:t>
      </w:r>
      <w:r>
        <w:rPr>
          <w:sz w:val="24"/>
          <w:szCs w:val="24"/>
        </w:rPr>
        <w:t>s to be</w:t>
      </w:r>
      <w:r w:rsidRPr="00BE374A">
        <w:rPr>
          <w:sz w:val="24"/>
          <w:szCs w:val="24"/>
        </w:rPr>
        <w:t xml:space="preserve"> adequate (a score of 61 or higher). </w:t>
      </w:r>
    </w:p>
    <w:p w14:paraId="3A35C9BB" w14:textId="1BFD0148" w:rsidR="00745318" w:rsidRDefault="00745318" w:rsidP="00745318">
      <w:pPr>
        <w:rPr>
          <w:sz w:val="24"/>
          <w:szCs w:val="24"/>
        </w:rPr>
      </w:pPr>
      <w:r>
        <w:rPr>
          <w:sz w:val="24"/>
          <w:szCs w:val="24"/>
        </w:rPr>
        <w:t>In that context, four GIFT steward governments achieve a significant amount of public participation by the executive branch (in effect, by the ministry of finance or equivalent). These are the Philippines (41), Mexico (39), South Africa (24) and Guatemala (21).</w:t>
      </w:r>
    </w:p>
    <w:p w14:paraId="0B3991E6" w14:textId="77777777" w:rsidR="004A586F" w:rsidRDefault="004A586F" w:rsidP="004A586F">
      <w:pPr>
        <w:rPr>
          <w:sz w:val="24"/>
          <w:szCs w:val="24"/>
        </w:rPr>
      </w:pPr>
      <w:r>
        <w:rPr>
          <w:sz w:val="24"/>
          <w:szCs w:val="24"/>
        </w:rPr>
        <w:t>On the other hand, nine steward governments have scores of zero or near zero for public participation by the executive branch (scores in red in Table 2), representing major scope for improvement.</w:t>
      </w:r>
    </w:p>
    <w:p w14:paraId="3A9EE255" w14:textId="4F50C61D" w:rsidR="004A586F" w:rsidRDefault="004A586F" w:rsidP="004A586F">
      <w:pPr>
        <w:rPr>
          <w:sz w:val="24"/>
          <w:szCs w:val="24"/>
        </w:rPr>
      </w:pPr>
      <w:r>
        <w:rPr>
          <w:sz w:val="24"/>
          <w:szCs w:val="24"/>
        </w:rPr>
        <w:t>Annex 2 contains information on notable or interesting participation practices, extracted from the text of selected 2017 Open Budget Surveys as completed by the national researchers.</w:t>
      </w:r>
    </w:p>
    <w:p w14:paraId="68CD2159" w14:textId="77777777" w:rsidR="0007114E" w:rsidRDefault="0007114E" w:rsidP="004A586F">
      <w:pPr>
        <w:rPr>
          <w:sz w:val="24"/>
          <w:szCs w:val="24"/>
        </w:rPr>
      </w:pPr>
    </w:p>
    <w:p w14:paraId="1B86B8D5" w14:textId="16944393" w:rsidR="00734733" w:rsidRDefault="00734733" w:rsidP="00734733">
      <w:pPr>
        <w:rPr>
          <w:b/>
          <w:sz w:val="24"/>
          <w:szCs w:val="24"/>
        </w:rPr>
      </w:pPr>
      <w:r>
        <w:rPr>
          <w:b/>
          <w:sz w:val="24"/>
          <w:szCs w:val="24"/>
        </w:rPr>
        <w:lastRenderedPageBreak/>
        <w:t xml:space="preserve">Table 2: </w:t>
      </w:r>
      <w:r w:rsidRPr="0098077D">
        <w:rPr>
          <w:b/>
          <w:sz w:val="24"/>
          <w:szCs w:val="24"/>
        </w:rPr>
        <w:t xml:space="preserve">Stewards’ </w:t>
      </w:r>
      <w:r w:rsidR="00383CEB">
        <w:rPr>
          <w:b/>
          <w:sz w:val="24"/>
          <w:szCs w:val="24"/>
        </w:rPr>
        <w:t xml:space="preserve">and Partners’ </w:t>
      </w:r>
      <w:r w:rsidRPr="0098077D">
        <w:rPr>
          <w:b/>
          <w:sz w:val="24"/>
          <w:szCs w:val="24"/>
        </w:rPr>
        <w:t xml:space="preserve">performance on </w:t>
      </w:r>
      <w:r>
        <w:rPr>
          <w:b/>
          <w:sz w:val="24"/>
          <w:szCs w:val="24"/>
        </w:rPr>
        <w:t xml:space="preserve">public participation from </w:t>
      </w:r>
      <w:r w:rsidRPr="0098077D">
        <w:rPr>
          <w:b/>
          <w:sz w:val="24"/>
          <w:szCs w:val="24"/>
        </w:rPr>
        <w:t xml:space="preserve">the </w:t>
      </w:r>
      <w:r>
        <w:rPr>
          <w:b/>
          <w:sz w:val="24"/>
          <w:szCs w:val="24"/>
        </w:rPr>
        <w:t xml:space="preserve">2017 </w:t>
      </w:r>
      <w:r w:rsidRPr="0098077D">
        <w:rPr>
          <w:b/>
          <w:sz w:val="24"/>
          <w:szCs w:val="24"/>
        </w:rPr>
        <w:t xml:space="preserve">Open Budget </w:t>
      </w:r>
      <w:r>
        <w:rPr>
          <w:b/>
          <w:sz w:val="24"/>
          <w:szCs w:val="24"/>
        </w:rPr>
        <w:t>Survey</w:t>
      </w:r>
    </w:p>
    <w:tbl>
      <w:tblPr>
        <w:tblW w:w="5340" w:type="dxa"/>
        <w:tblLook w:val="04A0" w:firstRow="1" w:lastRow="0" w:firstColumn="1" w:lastColumn="0" w:noHBand="0" w:noVBand="1"/>
      </w:tblPr>
      <w:tblGrid>
        <w:gridCol w:w="1196"/>
        <w:gridCol w:w="2500"/>
        <w:gridCol w:w="1880"/>
      </w:tblGrid>
      <w:tr w:rsidR="00383CEB" w:rsidRPr="00383CEB" w14:paraId="67AC0657" w14:textId="77777777" w:rsidTr="00383CEB">
        <w:trPr>
          <w:trHeight w:val="290"/>
        </w:trPr>
        <w:tc>
          <w:tcPr>
            <w:tcW w:w="960" w:type="dxa"/>
            <w:tcBorders>
              <w:top w:val="nil"/>
              <w:left w:val="nil"/>
              <w:bottom w:val="nil"/>
              <w:right w:val="nil"/>
            </w:tcBorders>
            <w:shd w:val="clear" w:color="auto" w:fill="auto"/>
            <w:noWrap/>
            <w:vAlign w:val="bottom"/>
            <w:hideMark/>
          </w:tcPr>
          <w:p w14:paraId="2CDC8DE4" w14:textId="77777777" w:rsidR="00383CEB" w:rsidRPr="00383CEB" w:rsidRDefault="00383CEB" w:rsidP="00383CEB">
            <w:pPr>
              <w:spacing w:after="0" w:line="240" w:lineRule="auto"/>
              <w:rPr>
                <w:rFonts w:ascii="Times New Roman" w:eastAsia="Times New Roman" w:hAnsi="Times New Roman" w:cs="Times New Roman"/>
                <w:sz w:val="24"/>
                <w:szCs w:val="24"/>
                <w:lang w:eastAsia="en-NZ"/>
              </w:rPr>
            </w:pPr>
          </w:p>
        </w:tc>
        <w:tc>
          <w:tcPr>
            <w:tcW w:w="2500" w:type="dxa"/>
            <w:tcBorders>
              <w:top w:val="nil"/>
              <w:left w:val="nil"/>
              <w:bottom w:val="nil"/>
              <w:right w:val="nil"/>
            </w:tcBorders>
            <w:shd w:val="clear" w:color="auto" w:fill="auto"/>
            <w:noWrap/>
            <w:vAlign w:val="bottom"/>
            <w:hideMark/>
          </w:tcPr>
          <w:p w14:paraId="243C258B" w14:textId="77777777" w:rsidR="00383CEB" w:rsidRPr="00383CEB" w:rsidRDefault="00383CEB" w:rsidP="00383CEB">
            <w:pPr>
              <w:spacing w:after="0" w:line="240" w:lineRule="auto"/>
              <w:jc w:val="center"/>
              <w:rPr>
                <w:rFonts w:ascii="Calibri" w:eastAsia="Times New Roman" w:hAnsi="Calibri" w:cs="Calibri"/>
                <w:color w:val="000000"/>
                <w:lang w:eastAsia="en-NZ"/>
              </w:rPr>
            </w:pPr>
            <w:r w:rsidRPr="00383CEB">
              <w:rPr>
                <w:rFonts w:ascii="Calibri" w:eastAsia="Times New Roman" w:hAnsi="Calibri" w:cs="Calibri"/>
                <w:color w:val="000000"/>
                <w:lang w:eastAsia="en-NZ"/>
              </w:rPr>
              <w:t>2017 Participation Score</w:t>
            </w:r>
          </w:p>
        </w:tc>
        <w:tc>
          <w:tcPr>
            <w:tcW w:w="1880" w:type="dxa"/>
            <w:tcBorders>
              <w:top w:val="nil"/>
              <w:left w:val="nil"/>
              <w:bottom w:val="nil"/>
              <w:right w:val="nil"/>
            </w:tcBorders>
            <w:shd w:val="clear" w:color="auto" w:fill="auto"/>
            <w:noWrap/>
            <w:vAlign w:val="bottom"/>
            <w:hideMark/>
          </w:tcPr>
          <w:p w14:paraId="32790470" w14:textId="77777777" w:rsidR="00383CEB" w:rsidRPr="00383CEB" w:rsidRDefault="00383CEB" w:rsidP="00383CEB">
            <w:pPr>
              <w:spacing w:after="0" w:line="240" w:lineRule="auto"/>
              <w:jc w:val="center"/>
              <w:rPr>
                <w:rFonts w:ascii="Calibri" w:eastAsia="Times New Roman" w:hAnsi="Calibri" w:cs="Calibri"/>
                <w:color w:val="000000"/>
                <w:lang w:eastAsia="en-NZ"/>
              </w:rPr>
            </w:pPr>
            <w:r w:rsidRPr="00383CEB">
              <w:rPr>
                <w:rFonts w:ascii="Calibri" w:eastAsia="Times New Roman" w:hAnsi="Calibri" w:cs="Calibri"/>
                <w:color w:val="000000"/>
                <w:lang w:eastAsia="en-NZ"/>
              </w:rPr>
              <w:t>2017 Participation</w:t>
            </w:r>
          </w:p>
        </w:tc>
      </w:tr>
      <w:tr w:rsidR="00383CEB" w:rsidRPr="00383CEB" w14:paraId="258D4C36" w14:textId="77777777" w:rsidTr="00383CEB">
        <w:trPr>
          <w:trHeight w:val="290"/>
        </w:trPr>
        <w:tc>
          <w:tcPr>
            <w:tcW w:w="960" w:type="dxa"/>
            <w:tcBorders>
              <w:top w:val="nil"/>
              <w:left w:val="nil"/>
              <w:bottom w:val="nil"/>
              <w:right w:val="nil"/>
            </w:tcBorders>
            <w:shd w:val="clear" w:color="auto" w:fill="auto"/>
            <w:noWrap/>
            <w:vAlign w:val="bottom"/>
            <w:hideMark/>
          </w:tcPr>
          <w:p w14:paraId="4D7C26A6" w14:textId="77777777" w:rsidR="00383CEB" w:rsidRPr="00383CEB" w:rsidRDefault="00383CEB" w:rsidP="00383CEB">
            <w:pPr>
              <w:spacing w:after="0" w:line="240" w:lineRule="auto"/>
              <w:rPr>
                <w:rFonts w:ascii="Calibri" w:eastAsia="Times New Roman" w:hAnsi="Calibri" w:cs="Calibri"/>
                <w:color w:val="000000"/>
                <w:lang w:eastAsia="en-NZ"/>
              </w:rPr>
            </w:pPr>
          </w:p>
        </w:tc>
        <w:tc>
          <w:tcPr>
            <w:tcW w:w="2500" w:type="dxa"/>
            <w:tcBorders>
              <w:top w:val="nil"/>
              <w:left w:val="nil"/>
              <w:bottom w:val="nil"/>
              <w:right w:val="nil"/>
            </w:tcBorders>
            <w:shd w:val="clear" w:color="auto" w:fill="auto"/>
            <w:noWrap/>
            <w:vAlign w:val="bottom"/>
            <w:hideMark/>
          </w:tcPr>
          <w:p w14:paraId="2EE38F7D" w14:textId="77777777" w:rsidR="00383CEB" w:rsidRPr="00383CEB" w:rsidRDefault="00383CEB" w:rsidP="00383CEB">
            <w:pPr>
              <w:spacing w:after="0" w:line="240" w:lineRule="auto"/>
              <w:jc w:val="center"/>
              <w:rPr>
                <w:rFonts w:ascii="Calibri" w:eastAsia="Times New Roman" w:hAnsi="Calibri" w:cs="Calibri"/>
                <w:color w:val="000000"/>
                <w:lang w:eastAsia="en-NZ"/>
              </w:rPr>
            </w:pPr>
            <w:r w:rsidRPr="00383CEB">
              <w:rPr>
                <w:rFonts w:ascii="Calibri" w:eastAsia="Times New Roman" w:hAnsi="Calibri" w:cs="Calibri"/>
                <w:color w:val="000000"/>
                <w:lang w:eastAsia="en-NZ"/>
              </w:rPr>
              <w:t>Total</w:t>
            </w:r>
          </w:p>
        </w:tc>
        <w:tc>
          <w:tcPr>
            <w:tcW w:w="1880" w:type="dxa"/>
            <w:tcBorders>
              <w:top w:val="nil"/>
              <w:left w:val="nil"/>
              <w:bottom w:val="nil"/>
              <w:right w:val="nil"/>
            </w:tcBorders>
            <w:shd w:val="clear" w:color="auto" w:fill="auto"/>
            <w:noWrap/>
            <w:vAlign w:val="bottom"/>
            <w:hideMark/>
          </w:tcPr>
          <w:p w14:paraId="6B047870" w14:textId="77777777" w:rsidR="00383CEB" w:rsidRPr="00383CEB" w:rsidRDefault="00383CEB" w:rsidP="00383CEB">
            <w:pPr>
              <w:spacing w:after="0" w:line="240" w:lineRule="auto"/>
              <w:jc w:val="center"/>
              <w:rPr>
                <w:rFonts w:ascii="Calibri" w:eastAsia="Times New Roman" w:hAnsi="Calibri" w:cs="Calibri"/>
                <w:color w:val="000000"/>
                <w:lang w:eastAsia="en-NZ"/>
              </w:rPr>
            </w:pPr>
            <w:r w:rsidRPr="00383CEB">
              <w:rPr>
                <w:rFonts w:ascii="Calibri" w:eastAsia="Times New Roman" w:hAnsi="Calibri" w:cs="Calibri"/>
                <w:color w:val="000000"/>
                <w:lang w:eastAsia="en-NZ"/>
              </w:rPr>
              <w:t>Executive Branch</w:t>
            </w:r>
          </w:p>
        </w:tc>
      </w:tr>
      <w:tr w:rsidR="00383CEB" w:rsidRPr="00383CEB" w14:paraId="77204332" w14:textId="77777777" w:rsidTr="00383CEB">
        <w:trPr>
          <w:trHeight w:val="290"/>
        </w:trPr>
        <w:tc>
          <w:tcPr>
            <w:tcW w:w="960" w:type="dxa"/>
            <w:tcBorders>
              <w:top w:val="nil"/>
              <w:left w:val="nil"/>
              <w:bottom w:val="nil"/>
              <w:right w:val="nil"/>
            </w:tcBorders>
            <w:shd w:val="clear" w:color="auto" w:fill="auto"/>
            <w:noWrap/>
            <w:vAlign w:val="bottom"/>
            <w:hideMark/>
          </w:tcPr>
          <w:p w14:paraId="38B18045" w14:textId="77777777" w:rsidR="00383CEB" w:rsidRPr="00383CEB" w:rsidRDefault="00383CEB" w:rsidP="00383CEB">
            <w:pPr>
              <w:spacing w:after="0" w:line="240" w:lineRule="auto"/>
              <w:rPr>
                <w:rFonts w:ascii="Calibri" w:eastAsia="Times New Roman" w:hAnsi="Calibri" w:cs="Calibri"/>
                <w:color w:val="000000"/>
                <w:lang w:eastAsia="en-NZ"/>
              </w:rPr>
            </w:pPr>
          </w:p>
        </w:tc>
        <w:tc>
          <w:tcPr>
            <w:tcW w:w="2500" w:type="dxa"/>
            <w:tcBorders>
              <w:top w:val="nil"/>
              <w:left w:val="nil"/>
              <w:bottom w:val="nil"/>
              <w:right w:val="nil"/>
            </w:tcBorders>
            <w:shd w:val="clear" w:color="auto" w:fill="auto"/>
            <w:noWrap/>
            <w:vAlign w:val="bottom"/>
            <w:hideMark/>
          </w:tcPr>
          <w:p w14:paraId="0C92A9F1" w14:textId="77777777" w:rsidR="00383CEB" w:rsidRPr="00383CEB" w:rsidRDefault="00383CEB" w:rsidP="00383CEB">
            <w:pPr>
              <w:spacing w:after="0" w:line="240" w:lineRule="auto"/>
              <w:jc w:val="center"/>
              <w:rPr>
                <w:rFonts w:ascii="Times New Roman" w:eastAsia="Times New Roman" w:hAnsi="Times New Roman" w:cs="Times New Roman"/>
                <w:sz w:val="20"/>
                <w:szCs w:val="20"/>
                <w:lang w:eastAsia="en-NZ"/>
              </w:rPr>
            </w:pPr>
          </w:p>
        </w:tc>
        <w:tc>
          <w:tcPr>
            <w:tcW w:w="1880" w:type="dxa"/>
            <w:tcBorders>
              <w:top w:val="nil"/>
              <w:left w:val="nil"/>
              <w:bottom w:val="nil"/>
              <w:right w:val="nil"/>
            </w:tcBorders>
            <w:shd w:val="clear" w:color="auto" w:fill="auto"/>
            <w:noWrap/>
            <w:vAlign w:val="bottom"/>
            <w:hideMark/>
          </w:tcPr>
          <w:p w14:paraId="718E31FA" w14:textId="77777777" w:rsidR="00383CEB" w:rsidRPr="00383CEB" w:rsidRDefault="00383CEB" w:rsidP="00383CEB">
            <w:pPr>
              <w:spacing w:after="0" w:line="240" w:lineRule="auto"/>
              <w:jc w:val="center"/>
              <w:rPr>
                <w:rFonts w:ascii="Times New Roman" w:eastAsia="Times New Roman" w:hAnsi="Times New Roman" w:cs="Times New Roman"/>
                <w:sz w:val="20"/>
                <w:szCs w:val="20"/>
                <w:lang w:eastAsia="en-NZ"/>
              </w:rPr>
            </w:pPr>
          </w:p>
        </w:tc>
      </w:tr>
      <w:tr w:rsidR="00383CEB" w:rsidRPr="00383CEB" w14:paraId="16276A6E" w14:textId="77777777" w:rsidTr="00383CEB">
        <w:trPr>
          <w:trHeight w:val="290"/>
        </w:trPr>
        <w:tc>
          <w:tcPr>
            <w:tcW w:w="960" w:type="dxa"/>
            <w:tcBorders>
              <w:top w:val="nil"/>
              <w:left w:val="nil"/>
              <w:bottom w:val="nil"/>
              <w:right w:val="nil"/>
            </w:tcBorders>
            <w:shd w:val="clear" w:color="auto" w:fill="auto"/>
            <w:noWrap/>
            <w:vAlign w:val="bottom"/>
            <w:hideMark/>
          </w:tcPr>
          <w:p w14:paraId="2BBECD47" w14:textId="77777777" w:rsidR="00383CEB" w:rsidRPr="00383CEB" w:rsidRDefault="00383CEB" w:rsidP="00383CEB">
            <w:pPr>
              <w:spacing w:after="0" w:line="240" w:lineRule="auto"/>
              <w:rPr>
                <w:rFonts w:ascii="Calibri" w:eastAsia="Times New Roman" w:hAnsi="Calibri" w:cs="Calibri"/>
                <w:color w:val="000000"/>
                <w:lang w:eastAsia="en-NZ"/>
              </w:rPr>
            </w:pPr>
            <w:r w:rsidRPr="00383CEB">
              <w:rPr>
                <w:rFonts w:ascii="Calibri" w:eastAsia="Times New Roman" w:hAnsi="Calibri" w:cs="Calibri"/>
                <w:color w:val="000000"/>
                <w:lang w:eastAsia="en-NZ"/>
              </w:rPr>
              <w:t>Argentina</w:t>
            </w:r>
          </w:p>
        </w:tc>
        <w:tc>
          <w:tcPr>
            <w:tcW w:w="2500" w:type="dxa"/>
            <w:tcBorders>
              <w:top w:val="nil"/>
              <w:left w:val="nil"/>
              <w:bottom w:val="nil"/>
              <w:right w:val="nil"/>
            </w:tcBorders>
            <w:shd w:val="clear" w:color="auto" w:fill="auto"/>
            <w:noWrap/>
            <w:vAlign w:val="bottom"/>
            <w:hideMark/>
          </w:tcPr>
          <w:p w14:paraId="51D5D6DD" w14:textId="77777777" w:rsidR="00383CEB" w:rsidRPr="00383CEB" w:rsidRDefault="00383CEB" w:rsidP="00383CEB">
            <w:pPr>
              <w:spacing w:after="0" w:line="240" w:lineRule="auto"/>
              <w:jc w:val="center"/>
              <w:rPr>
                <w:rFonts w:ascii="Calibri" w:eastAsia="Times New Roman" w:hAnsi="Calibri" w:cs="Calibri"/>
                <w:color w:val="000000"/>
                <w:lang w:eastAsia="en-NZ"/>
              </w:rPr>
            </w:pPr>
            <w:r w:rsidRPr="00383CEB">
              <w:rPr>
                <w:rFonts w:ascii="Calibri" w:eastAsia="Times New Roman" w:hAnsi="Calibri" w:cs="Calibri"/>
                <w:color w:val="000000"/>
                <w:lang w:eastAsia="en-NZ"/>
              </w:rPr>
              <w:t>13</w:t>
            </w:r>
          </w:p>
        </w:tc>
        <w:tc>
          <w:tcPr>
            <w:tcW w:w="1880" w:type="dxa"/>
            <w:tcBorders>
              <w:top w:val="nil"/>
              <w:left w:val="nil"/>
              <w:bottom w:val="nil"/>
              <w:right w:val="nil"/>
            </w:tcBorders>
            <w:shd w:val="clear" w:color="auto" w:fill="auto"/>
            <w:noWrap/>
            <w:vAlign w:val="bottom"/>
            <w:hideMark/>
          </w:tcPr>
          <w:p w14:paraId="13A0AD5C" w14:textId="77777777" w:rsidR="00383CEB" w:rsidRPr="00383CEB" w:rsidRDefault="00383CEB" w:rsidP="00383CEB">
            <w:pPr>
              <w:spacing w:after="0" w:line="240" w:lineRule="auto"/>
              <w:jc w:val="center"/>
              <w:rPr>
                <w:rFonts w:ascii="Calibri" w:eastAsia="Times New Roman" w:hAnsi="Calibri" w:cs="Calibri"/>
                <w:color w:val="FF0000"/>
                <w:lang w:eastAsia="en-NZ"/>
              </w:rPr>
            </w:pPr>
            <w:r w:rsidRPr="00383CEB">
              <w:rPr>
                <w:rFonts w:ascii="Calibri" w:eastAsia="Times New Roman" w:hAnsi="Calibri" w:cs="Calibri"/>
                <w:color w:val="FF0000"/>
                <w:lang w:eastAsia="en-NZ"/>
              </w:rPr>
              <w:t>0</w:t>
            </w:r>
          </w:p>
        </w:tc>
      </w:tr>
      <w:tr w:rsidR="00383CEB" w:rsidRPr="00383CEB" w14:paraId="61E7880A" w14:textId="77777777" w:rsidTr="00383CEB">
        <w:trPr>
          <w:trHeight w:val="290"/>
        </w:trPr>
        <w:tc>
          <w:tcPr>
            <w:tcW w:w="960" w:type="dxa"/>
            <w:tcBorders>
              <w:top w:val="nil"/>
              <w:left w:val="nil"/>
              <w:bottom w:val="nil"/>
              <w:right w:val="nil"/>
            </w:tcBorders>
            <w:shd w:val="clear" w:color="auto" w:fill="auto"/>
            <w:noWrap/>
            <w:vAlign w:val="bottom"/>
            <w:hideMark/>
          </w:tcPr>
          <w:p w14:paraId="012AC6CC" w14:textId="77777777" w:rsidR="00383CEB" w:rsidRPr="00383CEB" w:rsidRDefault="00383CEB" w:rsidP="00383CEB">
            <w:pPr>
              <w:spacing w:after="0" w:line="240" w:lineRule="auto"/>
              <w:rPr>
                <w:rFonts w:ascii="Calibri" w:eastAsia="Times New Roman" w:hAnsi="Calibri" w:cs="Calibri"/>
                <w:color w:val="000000"/>
                <w:lang w:eastAsia="en-NZ"/>
              </w:rPr>
            </w:pPr>
            <w:r w:rsidRPr="00383CEB">
              <w:rPr>
                <w:rFonts w:ascii="Calibri" w:eastAsia="Times New Roman" w:hAnsi="Calibri" w:cs="Calibri"/>
                <w:color w:val="000000"/>
                <w:lang w:eastAsia="en-NZ"/>
              </w:rPr>
              <w:t>Benin</w:t>
            </w:r>
          </w:p>
        </w:tc>
        <w:tc>
          <w:tcPr>
            <w:tcW w:w="2500" w:type="dxa"/>
            <w:tcBorders>
              <w:top w:val="nil"/>
              <w:left w:val="nil"/>
              <w:bottom w:val="nil"/>
              <w:right w:val="nil"/>
            </w:tcBorders>
            <w:shd w:val="clear" w:color="auto" w:fill="auto"/>
            <w:noWrap/>
            <w:vAlign w:val="bottom"/>
            <w:hideMark/>
          </w:tcPr>
          <w:p w14:paraId="61192280" w14:textId="77777777" w:rsidR="00383CEB" w:rsidRPr="00383CEB" w:rsidRDefault="00383CEB" w:rsidP="00383CEB">
            <w:pPr>
              <w:spacing w:after="0" w:line="240" w:lineRule="auto"/>
              <w:jc w:val="center"/>
              <w:rPr>
                <w:rFonts w:ascii="Calibri" w:eastAsia="Times New Roman" w:hAnsi="Calibri" w:cs="Calibri"/>
                <w:color w:val="000000"/>
                <w:lang w:eastAsia="en-NZ"/>
              </w:rPr>
            </w:pPr>
            <w:r w:rsidRPr="00383CEB">
              <w:rPr>
                <w:rFonts w:ascii="Calibri" w:eastAsia="Times New Roman" w:hAnsi="Calibri" w:cs="Calibri"/>
                <w:color w:val="000000"/>
                <w:lang w:eastAsia="en-NZ"/>
              </w:rPr>
              <w:t>9</w:t>
            </w:r>
          </w:p>
        </w:tc>
        <w:tc>
          <w:tcPr>
            <w:tcW w:w="1880" w:type="dxa"/>
            <w:tcBorders>
              <w:top w:val="nil"/>
              <w:left w:val="nil"/>
              <w:bottom w:val="nil"/>
              <w:right w:val="nil"/>
            </w:tcBorders>
            <w:shd w:val="clear" w:color="auto" w:fill="auto"/>
            <w:noWrap/>
            <w:vAlign w:val="bottom"/>
            <w:hideMark/>
          </w:tcPr>
          <w:p w14:paraId="1C4D70A7" w14:textId="77777777" w:rsidR="00383CEB" w:rsidRPr="00383CEB" w:rsidRDefault="00383CEB" w:rsidP="00383CEB">
            <w:pPr>
              <w:spacing w:after="0" w:line="240" w:lineRule="auto"/>
              <w:jc w:val="center"/>
              <w:rPr>
                <w:rFonts w:ascii="Calibri" w:eastAsia="Times New Roman" w:hAnsi="Calibri" w:cs="Calibri"/>
                <w:color w:val="FF0000"/>
                <w:lang w:eastAsia="en-NZ"/>
              </w:rPr>
            </w:pPr>
            <w:r w:rsidRPr="00383CEB">
              <w:rPr>
                <w:rFonts w:ascii="Calibri" w:eastAsia="Times New Roman" w:hAnsi="Calibri" w:cs="Calibri"/>
                <w:color w:val="FF0000"/>
                <w:lang w:eastAsia="en-NZ"/>
              </w:rPr>
              <w:t>0</w:t>
            </w:r>
          </w:p>
        </w:tc>
      </w:tr>
      <w:tr w:rsidR="00383CEB" w:rsidRPr="00383CEB" w14:paraId="4DC68622" w14:textId="77777777" w:rsidTr="00383CEB">
        <w:trPr>
          <w:trHeight w:val="290"/>
        </w:trPr>
        <w:tc>
          <w:tcPr>
            <w:tcW w:w="960" w:type="dxa"/>
            <w:tcBorders>
              <w:top w:val="nil"/>
              <w:left w:val="nil"/>
              <w:bottom w:val="nil"/>
              <w:right w:val="nil"/>
            </w:tcBorders>
            <w:shd w:val="clear" w:color="auto" w:fill="auto"/>
            <w:noWrap/>
            <w:vAlign w:val="bottom"/>
            <w:hideMark/>
          </w:tcPr>
          <w:p w14:paraId="0A5ACB84" w14:textId="77777777" w:rsidR="00383CEB" w:rsidRPr="00383CEB" w:rsidRDefault="00383CEB" w:rsidP="00383CEB">
            <w:pPr>
              <w:spacing w:after="0" w:line="240" w:lineRule="auto"/>
              <w:rPr>
                <w:rFonts w:ascii="Calibri" w:eastAsia="Times New Roman" w:hAnsi="Calibri" w:cs="Calibri"/>
                <w:color w:val="000000"/>
                <w:lang w:eastAsia="en-NZ"/>
              </w:rPr>
            </w:pPr>
            <w:r w:rsidRPr="00383CEB">
              <w:rPr>
                <w:rFonts w:ascii="Calibri" w:eastAsia="Times New Roman" w:hAnsi="Calibri" w:cs="Calibri"/>
                <w:color w:val="000000"/>
                <w:lang w:eastAsia="en-NZ"/>
              </w:rPr>
              <w:t xml:space="preserve">Brazil </w:t>
            </w:r>
          </w:p>
        </w:tc>
        <w:tc>
          <w:tcPr>
            <w:tcW w:w="2500" w:type="dxa"/>
            <w:tcBorders>
              <w:top w:val="nil"/>
              <w:left w:val="nil"/>
              <w:bottom w:val="nil"/>
              <w:right w:val="nil"/>
            </w:tcBorders>
            <w:shd w:val="clear" w:color="auto" w:fill="auto"/>
            <w:noWrap/>
            <w:vAlign w:val="bottom"/>
            <w:hideMark/>
          </w:tcPr>
          <w:p w14:paraId="583E3F4C" w14:textId="77777777" w:rsidR="00383CEB" w:rsidRPr="00383CEB" w:rsidRDefault="00383CEB" w:rsidP="00383CEB">
            <w:pPr>
              <w:spacing w:after="0" w:line="240" w:lineRule="auto"/>
              <w:jc w:val="center"/>
              <w:rPr>
                <w:rFonts w:ascii="Calibri" w:eastAsia="Times New Roman" w:hAnsi="Calibri" w:cs="Calibri"/>
                <w:color w:val="000000"/>
                <w:lang w:eastAsia="en-NZ"/>
              </w:rPr>
            </w:pPr>
            <w:r w:rsidRPr="00383CEB">
              <w:rPr>
                <w:rFonts w:ascii="Calibri" w:eastAsia="Times New Roman" w:hAnsi="Calibri" w:cs="Calibri"/>
                <w:color w:val="000000"/>
                <w:lang w:eastAsia="en-NZ"/>
              </w:rPr>
              <w:t>35</w:t>
            </w:r>
          </w:p>
        </w:tc>
        <w:tc>
          <w:tcPr>
            <w:tcW w:w="1880" w:type="dxa"/>
            <w:tcBorders>
              <w:top w:val="nil"/>
              <w:left w:val="nil"/>
              <w:bottom w:val="nil"/>
              <w:right w:val="nil"/>
            </w:tcBorders>
            <w:shd w:val="clear" w:color="auto" w:fill="auto"/>
            <w:noWrap/>
            <w:vAlign w:val="bottom"/>
            <w:hideMark/>
          </w:tcPr>
          <w:p w14:paraId="670F3739" w14:textId="77777777" w:rsidR="00383CEB" w:rsidRPr="00383CEB" w:rsidRDefault="00383CEB" w:rsidP="00383CEB">
            <w:pPr>
              <w:spacing w:after="0" w:line="240" w:lineRule="auto"/>
              <w:jc w:val="center"/>
              <w:rPr>
                <w:rFonts w:ascii="Calibri" w:eastAsia="Times New Roman" w:hAnsi="Calibri" w:cs="Calibri"/>
                <w:color w:val="000000"/>
                <w:lang w:eastAsia="en-NZ"/>
              </w:rPr>
            </w:pPr>
            <w:r w:rsidRPr="00383CEB">
              <w:rPr>
                <w:rFonts w:ascii="Calibri" w:eastAsia="Times New Roman" w:hAnsi="Calibri" w:cs="Calibri"/>
                <w:color w:val="000000"/>
                <w:lang w:eastAsia="en-NZ"/>
              </w:rPr>
              <w:t>18</w:t>
            </w:r>
          </w:p>
        </w:tc>
      </w:tr>
      <w:tr w:rsidR="00383CEB" w:rsidRPr="00383CEB" w14:paraId="1CCAE708" w14:textId="77777777" w:rsidTr="00383CEB">
        <w:trPr>
          <w:trHeight w:val="290"/>
        </w:trPr>
        <w:tc>
          <w:tcPr>
            <w:tcW w:w="960" w:type="dxa"/>
            <w:tcBorders>
              <w:top w:val="nil"/>
              <w:left w:val="nil"/>
              <w:bottom w:val="nil"/>
              <w:right w:val="nil"/>
            </w:tcBorders>
            <w:shd w:val="clear" w:color="auto" w:fill="auto"/>
            <w:noWrap/>
            <w:vAlign w:val="bottom"/>
            <w:hideMark/>
          </w:tcPr>
          <w:p w14:paraId="5414ACED" w14:textId="77777777" w:rsidR="00383CEB" w:rsidRPr="00383CEB" w:rsidRDefault="00383CEB" w:rsidP="00383CEB">
            <w:pPr>
              <w:spacing w:after="0" w:line="240" w:lineRule="auto"/>
              <w:rPr>
                <w:rFonts w:ascii="Calibri" w:eastAsia="Times New Roman" w:hAnsi="Calibri" w:cs="Calibri"/>
                <w:color w:val="000000"/>
                <w:lang w:eastAsia="en-NZ"/>
              </w:rPr>
            </w:pPr>
            <w:r w:rsidRPr="00383CEB">
              <w:rPr>
                <w:rFonts w:ascii="Calibri" w:eastAsia="Times New Roman" w:hAnsi="Calibri" w:cs="Calibri"/>
                <w:color w:val="000000"/>
                <w:lang w:eastAsia="en-NZ"/>
              </w:rPr>
              <w:t>Chile</w:t>
            </w:r>
          </w:p>
        </w:tc>
        <w:tc>
          <w:tcPr>
            <w:tcW w:w="2500" w:type="dxa"/>
            <w:tcBorders>
              <w:top w:val="nil"/>
              <w:left w:val="nil"/>
              <w:bottom w:val="nil"/>
              <w:right w:val="nil"/>
            </w:tcBorders>
            <w:shd w:val="clear" w:color="auto" w:fill="auto"/>
            <w:noWrap/>
            <w:vAlign w:val="bottom"/>
            <w:hideMark/>
          </w:tcPr>
          <w:p w14:paraId="383AF37D" w14:textId="77777777" w:rsidR="00383CEB" w:rsidRPr="00383CEB" w:rsidRDefault="00383CEB" w:rsidP="00383CEB">
            <w:pPr>
              <w:spacing w:after="0" w:line="240" w:lineRule="auto"/>
              <w:jc w:val="center"/>
              <w:rPr>
                <w:rFonts w:ascii="Calibri" w:eastAsia="Times New Roman" w:hAnsi="Calibri" w:cs="Calibri"/>
                <w:color w:val="000000"/>
                <w:lang w:eastAsia="en-NZ"/>
              </w:rPr>
            </w:pPr>
            <w:r w:rsidRPr="00383CEB">
              <w:rPr>
                <w:rFonts w:ascii="Calibri" w:eastAsia="Times New Roman" w:hAnsi="Calibri" w:cs="Calibri"/>
                <w:color w:val="000000"/>
                <w:lang w:eastAsia="en-NZ"/>
              </w:rPr>
              <w:t>11</w:t>
            </w:r>
          </w:p>
        </w:tc>
        <w:tc>
          <w:tcPr>
            <w:tcW w:w="1880" w:type="dxa"/>
            <w:tcBorders>
              <w:top w:val="nil"/>
              <w:left w:val="nil"/>
              <w:bottom w:val="nil"/>
              <w:right w:val="nil"/>
            </w:tcBorders>
            <w:shd w:val="clear" w:color="auto" w:fill="auto"/>
            <w:noWrap/>
            <w:vAlign w:val="bottom"/>
            <w:hideMark/>
          </w:tcPr>
          <w:p w14:paraId="489BD1C2" w14:textId="77777777" w:rsidR="00383CEB" w:rsidRPr="00383CEB" w:rsidRDefault="00383CEB" w:rsidP="00383CEB">
            <w:pPr>
              <w:spacing w:after="0" w:line="240" w:lineRule="auto"/>
              <w:jc w:val="center"/>
              <w:rPr>
                <w:rFonts w:ascii="Calibri" w:eastAsia="Times New Roman" w:hAnsi="Calibri" w:cs="Calibri"/>
                <w:color w:val="FF0000"/>
                <w:lang w:eastAsia="en-NZ"/>
              </w:rPr>
            </w:pPr>
            <w:r w:rsidRPr="00383CEB">
              <w:rPr>
                <w:rFonts w:ascii="Calibri" w:eastAsia="Times New Roman" w:hAnsi="Calibri" w:cs="Calibri"/>
                <w:color w:val="FF0000"/>
                <w:lang w:eastAsia="en-NZ"/>
              </w:rPr>
              <w:t>0</w:t>
            </w:r>
          </w:p>
        </w:tc>
      </w:tr>
      <w:tr w:rsidR="00383CEB" w:rsidRPr="00383CEB" w14:paraId="66F9455A" w14:textId="77777777" w:rsidTr="00383CEB">
        <w:trPr>
          <w:trHeight w:val="290"/>
        </w:trPr>
        <w:tc>
          <w:tcPr>
            <w:tcW w:w="960" w:type="dxa"/>
            <w:tcBorders>
              <w:top w:val="nil"/>
              <w:left w:val="nil"/>
              <w:bottom w:val="nil"/>
              <w:right w:val="nil"/>
            </w:tcBorders>
            <w:shd w:val="clear" w:color="auto" w:fill="auto"/>
            <w:noWrap/>
            <w:vAlign w:val="bottom"/>
            <w:hideMark/>
          </w:tcPr>
          <w:p w14:paraId="2F0DD26F" w14:textId="77777777" w:rsidR="00383CEB" w:rsidRPr="00383CEB" w:rsidRDefault="00383CEB" w:rsidP="00383CEB">
            <w:pPr>
              <w:spacing w:after="0" w:line="240" w:lineRule="auto"/>
              <w:rPr>
                <w:rFonts w:ascii="Calibri" w:eastAsia="Times New Roman" w:hAnsi="Calibri" w:cs="Calibri"/>
                <w:color w:val="000000"/>
                <w:lang w:eastAsia="en-NZ"/>
              </w:rPr>
            </w:pPr>
            <w:r w:rsidRPr="00383CEB">
              <w:rPr>
                <w:rFonts w:ascii="Calibri" w:eastAsia="Times New Roman" w:hAnsi="Calibri" w:cs="Calibri"/>
                <w:color w:val="000000"/>
                <w:lang w:eastAsia="en-NZ"/>
              </w:rPr>
              <w:t>Colombia</w:t>
            </w:r>
          </w:p>
        </w:tc>
        <w:tc>
          <w:tcPr>
            <w:tcW w:w="2500" w:type="dxa"/>
            <w:tcBorders>
              <w:top w:val="nil"/>
              <w:left w:val="nil"/>
              <w:bottom w:val="nil"/>
              <w:right w:val="nil"/>
            </w:tcBorders>
            <w:shd w:val="clear" w:color="auto" w:fill="auto"/>
            <w:noWrap/>
            <w:vAlign w:val="bottom"/>
            <w:hideMark/>
          </w:tcPr>
          <w:p w14:paraId="404EAC77" w14:textId="77777777" w:rsidR="00383CEB" w:rsidRPr="00383CEB" w:rsidRDefault="00383CEB" w:rsidP="00383CEB">
            <w:pPr>
              <w:spacing w:after="0" w:line="240" w:lineRule="auto"/>
              <w:jc w:val="center"/>
              <w:rPr>
                <w:rFonts w:ascii="Calibri" w:eastAsia="Times New Roman" w:hAnsi="Calibri" w:cs="Calibri"/>
                <w:color w:val="000000"/>
                <w:lang w:eastAsia="en-NZ"/>
              </w:rPr>
            </w:pPr>
            <w:r w:rsidRPr="00383CEB">
              <w:rPr>
                <w:rFonts w:ascii="Calibri" w:eastAsia="Times New Roman" w:hAnsi="Calibri" w:cs="Calibri"/>
                <w:color w:val="000000"/>
                <w:lang w:eastAsia="en-NZ"/>
              </w:rPr>
              <w:t>15</w:t>
            </w:r>
          </w:p>
        </w:tc>
        <w:tc>
          <w:tcPr>
            <w:tcW w:w="1880" w:type="dxa"/>
            <w:tcBorders>
              <w:top w:val="nil"/>
              <w:left w:val="nil"/>
              <w:bottom w:val="nil"/>
              <w:right w:val="nil"/>
            </w:tcBorders>
            <w:shd w:val="clear" w:color="auto" w:fill="auto"/>
            <w:noWrap/>
            <w:vAlign w:val="bottom"/>
            <w:hideMark/>
          </w:tcPr>
          <w:p w14:paraId="253B174A" w14:textId="77777777" w:rsidR="00383CEB" w:rsidRPr="00383CEB" w:rsidRDefault="00383CEB" w:rsidP="00383CEB">
            <w:pPr>
              <w:spacing w:after="0" w:line="240" w:lineRule="auto"/>
              <w:jc w:val="center"/>
              <w:rPr>
                <w:rFonts w:ascii="Calibri" w:eastAsia="Times New Roman" w:hAnsi="Calibri" w:cs="Calibri"/>
                <w:color w:val="FF0000"/>
                <w:lang w:eastAsia="en-NZ"/>
              </w:rPr>
            </w:pPr>
            <w:r w:rsidRPr="00383CEB">
              <w:rPr>
                <w:rFonts w:ascii="Calibri" w:eastAsia="Times New Roman" w:hAnsi="Calibri" w:cs="Calibri"/>
                <w:color w:val="FF0000"/>
                <w:lang w:eastAsia="en-NZ"/>
              </w:rPr>
              <w:t>3</w:t>
            </w:r>
          </w:p>
        </w:tc>
      </w:tr>
      <w:tr w:rsidR="00383CEB" w:rsidRPr="00383CEB" w14:paraId="778B0D5E" w14:textId="77777777" w:rsidTr="00383CEB">
        <w:trPr>
          <w:trHeight w:val="290"/>
        </w:trPr>
        <w:tc>
          <w:tcPr>
            <w:tcW w:w="960" w:type="dxa"/>
            <w:tcBorders>
              <w:top w:val="nil"/>
              <w:left w:val="nil"/>
              <w:bottom w:val="nil"/>
              <w:right w:val="nil"/>
            </w:tcBorders>
            <w:shd w:val="clear" w:color="auto" w:fill="auto"/>
            <w:noWrap/>
            <w:vAlign w:val="bottom"/>
            <w:hideMark/>
          </w:tcPr>
          <w:p w14:paraId="03E674E0" w14:textId="77777777" w:rsidR="00383CEB" w:rsidRPr="00383CEB" w:rsidRDefault="00383CEB" w:rsidP="00383CEB">
            <w:pPr>
              <w:spacing w:after="0" w:line="240" w:lineRule="auto"/>
              <w:rPr>
                <w:rFonts w:ascii="Calibri" w:eastAsia="Times New Roman" w:hAnsi="Calibri" w:cs="Calibri"/>
                <w:color w:val="000000"/>
                <w:lang w:eastAsia="en-NZ"/>
              </w:rPr>
            </w:pPr>
            <w:r w:rsidRPr="00383CEB">
              <w:rPr>
                <w:rFonts w:ascii="Calibri" w:eastAsia="Times New Roman" w:hAnsi="Calibri" w:cs="Calibri"/>
                <w:color w:val="000000"/>
                <w:lang w:eastAsia="en-NZ"/>
              </w:rPr>
              <w:t>Croatia</w:t>
            </w:r>
          </w:p>
        </w:tc>
        <w:tc>
          <w:tcPr>
            <w:tcW w:w="2500" w:type="dxa"/>
            <w:tcBorders>
              <w:top w:val="nil"/>
              <w:left w:val="nil"/>
              <w:bottom w:val="nil"/>
              <w:right w:val="nil"/>
            </w:tcBorders>
            <w:shd w:val="clear" w:color="auto" w:fill="auto"/>
            <w:noWrap/>
            <w:vAlign w:val="bottom"/>
            <w:hideMark/>
          </w:tcPr>
          <w:p w14:paraId="3B1E6D6C" w14:textId="77777777" w:rsidR="00383CEB" w:rsidRPr="00383CEB" w:rsidRDefault="00383CEB" w:rsidP="00383CEB">
            <w:pPr>
              <w:spacing w:after="0" w:line="240" w:lineRule="auto"/>
              <w:jc w:val="center"/>
              <w:rPr>
                <w:rFonts w:ascii="Calibri" w:eastAsia="Times New Roman" w:hAnsi="Calibri" w:cs="Calibri"/>
                <w:color w:val="000000"/>
                <w:lang w:eastAsia="en-NZ"/>
              </w:rPr>
            </w:pPr>
            <w:r w:rsidRPr="00383CEB">
              <w:rPr>
                <w:rFonts w:ascii="Calibri" w:eastAsia="Times New Roman" w:hAnsi="Calibri" w:cs="Calibri"/>
                <w:color w:val="000000"/>
                <w:lang w:eastAsia="en-NZ"/>
              </w:rPr>
              <w:t>26</w:t>
            </w:r>
          </w:p>
        </w:tc>
        <w:tc>
          <w:tcPr>
            <w:tcW w:w="1880" w:type="dxa"/>
            <w:tcBorders>
              <w:top w:val="nil"/>
              <w:left w:val="nil"/>
              <w:bottom w:val="nil"/>
              <w:right w:val="nil"/>
            </w:tcBorders>
            <w:shd w:val="clear" w:color="auto" w:fill="auto"/>
            <w:noWrap/>
            <w:vAlign w:val="bottom"/>
            <w:hideMark/>
          </w:tcPr>
          <w:p w14:paraId="19589CFB" w14:textId="77777777" w:rsidR="00383CEB" w:rsidRPr="00383CEB" w:rsidRDefault="00383CEB" w:rsidP="00383CEB">
            <w:pPr>
              <w:spacing w:after="0" w:line="240" w:lineRule="auto"/>
              <w:jc w:val="center"/>
              <w:rPr>
                <w:rFonts w:ascii="Calibri" w:eastAsia="Times New Roman" w:hAnsi="Calibri" w:cs="Calibri"/>
                <w:color w:val="000000"/>
                <w:lang w:eastAsia="en-NZ"/>
              </w:rPr>
            </w:pPr>
            <w:r w:rsidRPr="00383CEB">
              <w:rPr>
                <w:rFonts w:ascii="Calibri" w:eastAsia="Times New Roman" w:hAnsi="Calibri" w:cs="Calibri"/>
                <w:color w:val="000000"/>
                <w:lang w:eastAsia="en-NZ"/>
              </w:rPr>
              <w:t>15</w:t>
            </w:r>
          </w:p>
        </w:tc>
      </w:tr>
      <w:tr w:rsidR="00383CEB" w:rsidRPr="00383CEB" w14:paraId="1A7698DA" w14:textId="77777777" w:rsidTr="00383CEB">
        <w:trPr>
          <w:trHeight w:val="290"/>
        </w:trPr>
        <w:tc>
          <w:tcPr>
            <w:tcW w:w="960" w:type="dxa"/>
            <w:tcBorders>
              <w:top w:val="nil"/>
              <w:left w:val="nil"/>
              <w:bottom w:val="nil"/>
              <w:right w:val="nil"/>
            </w:tcBorders>
            <w:shd w:val="clear" w:color="auto" w:fill="auto"/>
            <w:noWrap/>
            <w:vAlign w:val="bottom"/>
            <w:hideMark/>
          </w:tcPr>
          <w:p w14:paraId="2C8CB43A" w14:textId="77777777" w:rsidR="00383CEB" w:rsidRPr="00383CEB" w:rsidRDefault="00383CEB" w:rsidP="00383CEB">
            <w:pPr>
              <w:spacing w:after="0" w:line="240" w:lineRule="auto"/>
              <w:rPr>
                <w:rFonts w:ascii="Calibri" w:eastAsia="Times New Roman" w:hAnsi="Calibri" w:cs="Calibri"/>
                <w:color w:val="000000"/>
                <w:lang w:eastAsia="en-NZ"/>
              </w:rPr>
            </w:pPr>
            <w:r w:rsidRPr="00383CEB">
              <w:rPr>
                <w:rFonts w:ascii="Calibri" w:eastAsia="Times New Roman" w:hAnsi="Calibri" w:cs="Calibri"/>
                <w:color w:val="000000"/>
                <w:lang w:eastAsia="en-NZ"/>
              </w:rPr>
              <w:t>Dom. Republic</w:t>
            </w:r>
          </w:p>
        </w:tc>
        <w:tc>
          <w:tcPr>
            <w:tcW w:w="2500" w:type="dxa"/>
            <w:tcBorders>
              <w:top w:val="nil"/>
              <w:left w:val="nil"/>
              <w:bottom w:val="nil"/>
              <w:right w:val="nil"/>
            </w:tcBorders>
            <w:shd w:val="clear" w:color="auto" w:fill="auto"/>
            <w:noWrap/>
            <w:vAlign w:val="bottom"/>
            <w:hideMark/>
          </w:tcPr>
          <w:p w14:paraId="2CEAF042" w14:textId="77777777" w:rsidR="00383CEB" w:rsidRPr="00383CEB" w:rsidRDefault="00383CEB" w:rsidP="00383CEB">
            <w:pPr>
              <w:spacing w:after="0" w:line="240" w:lineRule="auto"/>
              <w:jc w:val="center"/>
              <w:rPr>
                <w:rFonts w:ascii="Calibri" w:eastAsia="Times New Roman" w:hAnsi="Calibri" w:cs="Calibri"/>
                <w:color w:val="000000"/>
                <w:lang w:eastAsia="en-NZ"/>
              </w:rPr>
            </w:pPr>
            <w:r w:rsidRPr="00383CEB">
              <w:rPr>
                <w:rFonts w:ascii="Calibri" w:eastAsia="Times New Roman" w:hAnsi="Calibri" w:cs="Calibri"/>
                <w:color w:val="000000"/>
                <w:lang w:eastAsia="en-NZ"/>
              </w:rPr>
              <w:t>17</w:t>
            </w:r>
          </w:p>
        </w:tc>
        <w:tc>
          <w:tcPr>
            <w:tcW w:w="1880" w:type="dxa"/>
            <w:tcBorders>
              <w:top w:val="nil"/>
              <w:left w:val="nil"/>
              <w:bottom w:val="nil"/>
              <w:right w:val="nil"/>
            </w:tcBorders>
            <w:shd w:val="clear" w:color="auto" w:fill="auto"/>
            <w:noWrap/>
            <w:vAlign w:val="bottom"/>
            <w:hideMark/>
          </w:tcPr>
          <w:p w14:paraId="4C0FEFFD" w14:textId="77777777" w:rsidR="00383CEB" w:rsidRPr="00383CEB" w:rsidRDefault="00383CEB" w:rsidP="00383CEB">
            <w:pPr>
              <w:spacing w:after="0" w:line="240" w:lineRule="auto"/>
              <w:jc w:val="center"/>
              <w:rPr>
                <w:rFonts w:ascii="Calibri" w:eastAsia="Times New Roman" w:hAnsi="Calibri" w:cs="Calibri"/>
                <w:color w:val="FF0000"/>
                <w:lang w:eastAsia="en-NZ"/>
              </w:rPr>
            </w:pPr>
            <w:r w:rsidRPr="00383CEB">
              <w:rPr>
                <w:rFonts w:ascii="Calibri" w:eastAsia="Times New Roman" w:hAnsi="Calibri" w:cs="Calibri"/>
                <w:color w:val="FF0000"/>
                <w:lang w:eastAsia="en-NZ"/>
              </w:rPr>
              <w:t>0</w:t>
            </w:r>
          </w:p>
        </w:tc>
      </w:tr>
      <w:tr w:rsidR="00383CEB" w:rsidRPr="00383CEB" w14:paraId="63642FC7" w14:textId="77777777" w:rsidTr="00383CEB">
        <w:trPr>
          <w:trHeight w:val="290"/>
        </w:trPr>
        <w:tc>
          <w:tcPr>
            <w:tcW w:w="960" w:type="dxa"/>
            <w:tcBorders>
              <w:top w:val="nil"/>
              <w:left w:val="nil"/>
              <w:bottom w:val="nil"/>
              <w:right w:val="nil"/>
            </w:tcBorders>
            <w:shd w:val="clear" w:color="auto" w:fill="auto"/>
            <w:noWrap/>
            <w:vAlign w:val="bottom"/>
            <w:hideMark/>
          </w:tcPr>
          <w:p w14:paraId="52D291CD" w14:textId="77777777" w:rsidR="00383CEB" w:rsidRPr="00383CEB" w:rsidRDefault="00383CEB" w:rsidP="00383CEB">
            <w:pPr>
              <w:spacing w:after="0" w:line="240" w:lineRule="auto"/>
              <w:rPr>
                <w:rFonts w:ascii="Calibri" w:eastAsia="Times New Roman" w:hAnsi="Calibri" w:cs="Calibri"/>
                <w:color w:val="000000"/>
                <w:lang w:eastAsia="en-NZ"/>
              </w:rPr>
            </w:pPr>
            <w:r w:rsidRPr="00383CEB">
              <w:rPr>
                <w:rFonts w:ascii="Calibri" w:eastAsia="Times New Roman" w:hAnsi="Calibri" w:cs="Calibri"/>
                <w:color w:val="000000"/>
                <w:lang w:eastAsia="en-NZ"/>
              </w:rPr>
              <w:t>Egypt</w:t>
            </w:r>
          </w:p>
        </w:tc>
        <w:tc>
          <w:tcPr>
            <w:tcW w:w="2500" w:type="dxa"/>
            <w:tcBorders>
              <w:top w:val="nil"/>
              <w:left w:val="nil"/>
              <w:bottom w:val="nil"/>
              <w:right w:val="nil"/>
            </w:tcBorders>
            <w:shd w:val="clear" w:color="auto" w:fill="auto"/>
            <w:noWrap/>
            <w:vAlign w:val="bottom"/>
            <w:hideMark/>
          </w:tcPr>
          <w:p w14:paraId="73303E8F" w14:textId="77777777" w:rsidR="00383CEB" w:rsidRPr="00383CEB" w:rsidRDefault="00383CEB" w:rsidP="00383CEB">
            <w:pPr>
              <w:spacing w:after="0" w:line="240" w:lineRule="auto"/>
              <w:jc w:val="center"/>
              <w:rPr>
                <w:rFonts w:ascii="Calibri" w:eastAsia="Times New Roman" w:hAnsi="Calibri" w:cs="Calibri"/>
                <w:color w:val="000000"/>
                <w:lang w:eastAsia="en-NZ"/>
              </w:rPr>
            </w:pPr>
            <w:r w:rsidRPr="00383CEB">
              <w:rPr>
                <w:rFonts w:ascii="Calibri" w:eastAsia="Times New Roman" w:hAnsi="Calibri" w:cs="Calibri"/>
                <w:color w:val="000000"/>
                <w:lang w:eastAsia="en-NZ"/>
              </w:rPr>
              <w:t>11</w:t>
            </w:r>
          </w:p>
        </w:tc>
        <w:tc>
          <w:tcPr>
            <w:tcW w:w="1880" w:type="dxa"/>
            <w:tcBorders>
              <w:top w:val="nil"/>
              <w:left w:val="nil"/>
              <w:bottom w:val="nil"/>
              <w:right w:val="nil"/>
            </w:tcBorders>
            <w:shd w:val="clear" w:color="auto" w:fill="auto"/>
            <w:noWrap/>
            <w:vAlign w:val="bottom"/>
            <w:hideMark/>
          </w:tcPr>
          <w:p w14:paraId="1CDCF308" w14:textId="77777777" w:rsidR="00383CEB" w:rsidRPr="00383CEB" w:rsidRDefault="00383CEB" w:rsidP="00383CEB">
            <w:pPr>
              <w:spacing w:after="0" w:line="240" w:lineRule="auto"/>
              <w:jc w:val="center"/>
              <w:rPr>
                <w:rFonts w:ascii="Calibri" w:eastAsia="Times New Roman" w:hAnsi="Calibri" w:cs="Calibri"/>
                <w:color w:val="000000"/>
                <w:lang w:eastAsia="en-NZ"/>
              </w:rPr>
            </w:pPr>
            <w:r w:rsidRPr="00383CEB">
              <w:rPr>
                <w:rFonts w:ascii="Calibri" w:eastAsia="Times New Roman" w:hAnsi="Calibri" w:cs="Calibri"/>
                <w:color w:val="000000"/>
                <w:lang w:eastAsia="en-NZ"/>
              </w:rPr>
              <w:t>18</w:t>
            </w:r>
          </w:p>
        </w:tc>
      </w:tr>
      <w:tr w:rsidR="00383CEB" w:rsidRPr="00383CEB" w14:paraId="74BAB583" w14:textId="77777777" w:rsidTr="00383CEB">
        <w:trPr>
          <w:trHeight w:val="290"/>
        </w:trPr>
        <w:tc>
          <w:tcPr>
            <w:tcW w:w="960" w:type="dxa"/>
            <w:tcBorders>
              <w:top w:val="nil"/>
              <w:left w:val="nil"/>
              <w:bottom w:val="nil"/>
              <w:right w:val="nil"/>
            </w:tcBorders>
            <w:shd w:val="clear" w:color="auto" w:fill="auto"/>
            <w:noWrap/>
            <w:vAlign w:val="bottom"/>
            <w:hideMark/>
          </w:tcPr>
          <w:p w14:paraId="1589D623" w14:textId="77777777" w:rsidR="00383CEB" w:rsidRPr="00383CEB" w:rsidRDefault="00383CEB" w:rsidP="00383CEB">
            <w:pPr>
              <w:spacing w:after="0" w:line="240" w:lineRule="auto"/>
              <w:rPr>
                <w:rFonts w:ascii="Calibri" w:eastAsia="Times New Roman" w:hAnsi="Calibri" w:cs="Calibri"/>
                <w:color w:val="000000"/>
                <w:lang w:eastAsia="en-NZ"/>
              </w:rPr>
            </w:pPr>
            <w:r w:rsidRPr="00383CEB">
              <w:rPr>
                <w:rFonts w:ascii="Calibri" w:eastAsia="Times New Roman" w:hAnsi="Calibri" w:cs="Calibri"/>
                <w:color w:val="000000"/>
                <w:lang w:eastAsia="en-NZ"/>
              </w:rPr>
              <w:t>El Salvador</w:t>
            </w:r>
          </w:p>
        </w:tc>
        <w:tc>
          <w:tcPr>
            <w:tcW w:w="2500" w:type="dxa"/>
            <w:tcBorders>
              <w:top w:val="nil"/>
              <w:left w:val="nil"/>
              <w:bottom w:val="nil"/>
              <w:right w:val="nil"/>
            </w:tcBorders>
            <w:shd w:val="clear" w:color="auto" w:fill="auto"/>
            <w:noWrap/>
            <w:vAlign w:val="bottom"/>
            <w:hideMark/>
          </w:tcPr>
          <w:p w14:paraId="63E8C552" w14:textId="77777777" w:rsidR="00383CEB" w:rsidRPr="00383CEB" w:rsidRDefault="00383CEB" w:rsidP="00383CEB">
            <w:pPr>
              <w:spacing w:after="0" w:line="240" w:lineRule="auto"/>
              <w:jc w:val="center"/>
              <w:rPr>
                <w:rFonts w:ascii="Calibri" w:eastAsia="Times New Roman" w:hAnsi="Calibri" w:cs="Calibri"/>
                <w:color w:val="000000"/>
                <w:lang w:eastAsia="en-NZ"/>
              </w:rPr>
            </w:pPr>
            <w:r w:rsidRPr="00383CEB">
              <w:rPr>
                <w:rFonts w:ascii="Calibri" w:eastAsia="Times New Roman" w:hAnsi="Calibri" w:cs="Calibri"/>
                <w:color w:val="000000"/>
                <w:lang w:eastAsia="en-NZ"/>
              </w:rPr>
              <w:t>6</w:t>
            </w:r>
          </w:p>
        </w:tc>
        <w:tc>
          <w:tcPr>
            <w:tcW w:w="1880" w:type="dxa"/>
            <w:tcBorders>
              <w:top w:val="nil"/>
              <w:left w:val="nil"/>
              <w:bottom w:val="nil"/>
              <w:right w:val="nil"/>
            </w:tcBorders>
            <w:shd w:val="clear" w:color="auto" w:fill="auto"/>
            <w:noWrap/>
            <w:vAlign w:val="bottom"/>
            <w:hideMark/>
          </w:tcPr>
          <w:p w14:paraId="73E6B500" w14:textId="77777777" w:rsidR="00383CEB" w:rsidRPr="00383CEB" w:rsidRDefault="00383CEB" w:rsidP="00383CEB">
            <w:pPr>
              <w:spacing w:after="0" w:line="240" w:lineRule="auto"/>
              <w:jc w:val="center"/>
              <w:rPr>
                <w:rFonts w:ascii="Calibri" w:eastAsia="Times New Roman" w:hAnsi="Calibri" w:cs="Calibri"/>
                <w:color w:val="FF0000"/>
                <w:lang w:eastAsia="en-NZ"/>
              </w:rPr>
            </w:pPr>
            <w:r w:rsidRPr="00383CEB">
              <w:rPr>
                <w:rFonts w:ascii="Calibri" w:eastAsia="Times New Roman" w:hAnsi="Calibri" w:cs="Calibri"/>
                <w:color w:val="FF0000"/>
                <w:lang w:eastAsia="en-NZ"/>
              </w:rPr>
              <w:t>0</w:t>
            </w:r>
          </w:p>
        </w:tc>
      </w:tr>
      <w:tr w:rsidR="00383CEB" w:rsidRPr="00383CEB" w14:paraId="189772AF" w14:textId="77777777" w:rsidTr="00383CEB">
        <w:trPr>
          <w:trHeight w:val="290"/>
        </w:trPr>
        <w:tc>
          <w:tcPr>
            <w:tcW w:w="960" w:type="dxa"/>
            <w:tcBorders>
              <w:top w:val="nil"/>
              <w:left w:val="nil"/>
              <w:bottom w:val="nil"/>
              <w:right w:val="nil"/>
            </w:tcBorders>
            <w:shd w:val="clear" w:color="auto" w:fill="auto"/>
            <w:noWrap/>
            <w:vAlign w:val="bottom"/>
            <w:hideMark/>
          </w:tcPr>
          <w:p w14:paraId="39D24DD0" w14:textId="77777777" w:rsidR="00383CEB" w:rsidRPr="00383CEB" w:rsidRDefault="00383CEB" w:rsidP="00383CEB">
            <w:pPr>
              <w:spacing w:after="0" w:line="240" w:lineRule="auto"/>
              <w:rPr>
                <w:rFonts w:ascii="Calibri" w:eastAsia="Times New Roman" w:hAnsi="Calibri" w:cs="Calibri"/>
                <w:color w:val="000000"/>
                <w:lang w:eastAsia="en-NZ"/>
              </w:rPr>
            </w:pPr>
            <w:r w:rsidRPr="00383CEB">
              <w:rPr>
                <w:rFonts w:ascii="Calibri" w:eastAsia="Times New Roman" w:hAnsi="Calibri" w:cs="Calibri"/>
                <w:color w:val="000000"/>
                <w:lang w:eastAsia="en-NZ"/>
              </w:rPr>
              <w:t>Guatemala</w:t>
            </w:r>
          </w:p>
        </w:tc>
        <w:tc>
          <w:tcPr>
            <w:tcW w:w="2500" w:type="dxa"/>
            <w:tcBorders>
              <w:top w:val="nil"/>
              <w:left w:val="nil"/>
              <w:bottom w:val="nil"/>
              <w:right w:val="nil"/>
            </w:tcBorders>
            <w:shd w:val="clear" w:color="auto" w:fill="auto"/>
            <w:noWrap/>
            <w:vAlign w:val="bottom"/>
            <w:hideMark/>
          </w:tcPr>
          <w:p w14:paraId="53FFFBB4" w14:textId="77777777" w:rsidR="00383CEB" w:rsidRPr="00383CEB" w:rsidRDefault="00383CEB" w:rsidP="00383CEB">
            <w:pPr>
              <w:spacing w:after="0" w:line="240" w:lineRule="auto"/>
              <w:jc w:val="center"/>
              <w:rPr>
                <w:rFonts w:ascii="Calibri" w:eastAsia="Times New Roman" w:hAnsi="Calibri" w:cs="Calibri"/>
                <w:color w:val="000000"/>
                <w:lang w:eastAsia="en-NZ"/>
              </w:rPr>
            </w:pPr>
            <w:r w:rsidRPr="00383CEB">
              <w:rPr>
                <w:rFonts w:ascii="Calibri" w:eastAsia="Times New Roman" w:hAnsi="Calibri" w:cs="Calibri"/>
                <w:color w:val="000000"/>
                <w:lang w:eastAsia="en-NZ"/>
              </w:rPr>
              <w:t>30</w:t>
            </w:r>
          </w:p>
        </w:tc>
        <w:tc>
          <w:tcPr>
            <w:tcW w:w="1880" w:type="dxa"/>
            <w:tcBorders>
              <w:top w:val="nil"/>
              <w:left w:val="nil"/>
              <w:bottom w:val="nil"/>
              <w:right w:val="nil"/>
            </w:tcBorders>
            <w:shd w:val="clear" w:color="auto" w:fill="auto"/>
            <w:noWrap/>
            <w:vAlign w:val="bottom"/>
            <w:hideMark/>
          </w:tcPr>
          <w:p w14:paraId="1E680BBF" w14:textId="77777777" w:rsidR="00383CEB" w:rsidRPr="00383CEB" w:rsidRDefault="00383CEB" w:rsidP="00383CEB">
            <w:pPr>
              <w:spacing w:after="0" w:line="240" w:lineRule="auto"/>
              <w:jc w:val="center"/>
              <w:rPr>
                <w:rFonts w:ascii="Calibri" w:eastAsia="Times New Roman" w:hAnsi="Calibri" w:cs="Calibri"/>
                <w:color w:val="000000"/>
                <w:lang w:eastAsia="en-NZ"/>
              </w:rPr>
            </w:pPr>
            <w:r w:rsidRPr="00383CEB">
              <w:rPr>
                <w:rFonts w:ascii="Calibri" w:eastAsia="Times New Roman" w:hAnsi="Calibri" w:cs="Calibri"/>
                <w:color w:val="000000"/>
                <w:lang w:eastAsia="en-NZ"/>
              </w:rPr>
              <w:t>21</w:t>
            </w:r>
          </w:p>
        </w:tc>
      </w:tr>
      <w:tr w:rsidR="00383CEB" w:rsidRPr="00383CEB" w14:paraId="4F1E8AE5" w14:textId="77777777" w:rsidTr="00383CEB">
        <w:trPr>
          <w:trHeight w:val="290"/>
        </w:trPr>
        <w:tc>
          <w:tcPr>
            <w:tcW w:w="960" w:type="dxa"/>
            <w:tcBorders>
              <w:top w:val="nil"/>
              <w:left w:val="nil"/>
              <w:bottom w:val="nil"/>
              <w:right w:val="nil"/>
            </w:tcBorders>
            <w:shd w:val="clear" w:color="auto" w:fill="auto"/>
            <w:noWrap/>
            <w:vAlign w:val="bottom"/>
            <w:hideMark/>
          </w:tcPr>
          <w:p w14:paraId="05176451" w14:textId="77777777" w:rsidR="00383CEB" w:rsidRPr="00383CEB" w:rsidRDefault="00383CEB" w:rsidP="00383CEB">
            <w:pPr>
              <w:spacing w:after="0" w:line="240" w:lineRule="auto"/>
              <w:rPr>
                <w:rFonts w:ascii="Calibri" w:eastAsia="Times New Roman" w:hAnsi="Calibri" w:cs="Calibri"/>
                <w:color w:val="000000"/>
                <w:lang w:eastAsia="en-NZ"/>
              </w:rPr>
            </w:pPr>
            <w:r w:rsidRPr="00383CEB">
              <w:rPr>
                <w:rFonts w:ascii="Calibri" w:eastAsia="Times New Roman" w:hAnsi="Calibri" w:cs="Calibri"/>
                <w:color w:val="000000"/>
                <w:lang w:eastAsia="en-NZ"/>
              </w:rPr>
              <w:t>Indonesia</w:t>
            </w:r>
          </w:p>
        </w:tc>
        <w:tc>
          <w:tcPr>
            <w:tcW w:w="2500" w:type="dxa"/>
            <w:tcBorders>
              <w:top w:val="nil"/>
              <w:left w:val="nil"/>
              <w:bottom w:val="nil"/>
              <w:right w:val="nil"/>
            </w:tcBorders>
            <w:shd w:val="clear" w:color="auto" w:fill="auto"/>
            <w:noWrap/>
            <w:vAlign w:val="bottom"/>
            <w:hideMark/>
          </w:tcPr>
          <w:p w14:paraId="6D702880" w14:textId="77777777" w:rsidR="00383CEB" w:rsidRPr="00383CEB" w:rsidRDefault="00383CEB" w:rsidP="00383CEB">
            <w:pPr>
              <w:spacing w:after="0" w:line="240" w:lineRule="auto"/>
              <w:jc w:val="center"/>
              <w:rPr>
                <w:rFonts w:ascii="Calibri" w:eastAsia="Times New Roman" w:hAnsi="Calibri" w:cs="Calibri"/>
                <w:color w:val="000000"/>
                <w:lang w:eastAsia="en-NZ"/>
              </w:rPr>
            </w:pPr>
            <w:r w:rsidRPr="00383CEB">
              <w:rPr>
                <w:rFonts w:ascii="Calibri" w:eastAsia="Times New Roman" w:hAnsi="Calibri" w:cs="Calibri"/>
                <w:color w:val="000000"/>
                <w:lang w:eastAsia="en-NZ"/>
              </w:rPr>
              <w:t>22</w:t>
            </w:r>
          </w:p>
        </w:tc>
        <w:tc>
          <w:tcPr>
            <w:tcW w:w="1880" w:type="dxa"/>
            <w:tcBorders>
              <w:top w:val="nil"/>
              <w:left w:val="nil"/>
              <w:bottom w:val="nil"/>
              <w:right w:val="nil"/>
            </w:tcBorders>
            <w:shd w:val="clear" w:color="auto" w:fill="auto"/>
            <w:noWrap/>
            <w:vAlign w:val="bottom"/>
            <w:hideMark/>
          </w:tcPr>
          <w:p w14:paraId="02CEB5BB" w14:textId="77777777" w:rsidR="00383CEB" w:rsidRPr="00383CEB" w:rsidRDefault="00383CEB" w:rsidP="00383CEB">
            <w:pPr>
              <w:spacing w:after="0" w:line="240" w:lineRule="auto"/>
              <w:jc w:val="center"/>
              <w:rPr>
                <w:rFonts w:ascii="Calibri" w:eastAsia="Times New Roman" w:hAnsi="Calibri" w:cs="Calibri"/>
                <w:color w:val="000000"/>
                <w:lang w:eastAsia="en-NZ"/>
              </w:rPr>
            </w:pPr>
            <w:r w:rsidRPr="00383CEB">
              <w:rPr>
                <w:rFonts w:ascii="Calibri" w:eastAsia="Times New Roman" w:hAnsi="Calibri" w:cs="Calibri"/>
                <w:color w:val="000000"/>
                <w:lang w:eastAsia="en-NZ"/>
              </w:rPr>
              <w:t>18</w:t>
            </w:r>
          </w:p>
        </w:tc>
      </w:tr>
      <w:tr w:rsidR="00383CEB" w:rsidRPr="00383CEB" w14:paraId="45C08F08" w14:textId="77777777" w:rsidTr="00383CEB">
        <w:trPr>
          <w:trHeight w:val="290"/>
        </w:trPr>
        <w:tc>
          <w:tcPr>
            <w:tcW w:w="960" w:type="dxa"/>
            <w:tcBorders>
              <w:top w:val="nil"/>
              <w:left w:val="nil"/>
              <w:bottom w:val="nil"/>
              <w:right w:val="nil"/>
            </w:tcBorders>
            <w:shd w:val="clear" w:color="auto" w:fill="auto"/>
            <w:noWrap/>
            <w:vAlign w:val="bottom"/>
            <w:hideMark/>
          </w:tcPr>
          <w:p w14:paraId="61C3435E" w14:textId="77777777" w:rsidR="00383CEB" w:rsidRPr="00383CEB" w:rsidRDefault="00383CEB" w:rsidP="00383CEB">
            <w:pPr>
              <w:spacing w:after="0" w:line="240" w:lineRule="auto"/>
              <w:rPr>
                <w:rFonts w:ascii="Calibri" w:eastAsia="Times New Roman" w:hAnsi="Calibri" w:cs="Calibri"/>
                <w:color w:val="000000"/>
                <w:lang w:eastAsia="en-NZ"/>
              </w:rPr>
            </w:pPr>
            <w:r w:rsidRPr="00383CEB">
              <w:rPr>
                <w:rFonts w:ascii="Calibri" w:eastAsia="Times New Roman" w:hAnsi="Calibri" w:cs="Calibri"/>
                <w:color w:val="000000"/>
                <w:lang w:eastAsia="en-NZ"/>
              </w:rPr>
              <w:t>Liberia</w:t>
            </w:r>
          </w:p>
        </w:tc>
        <w:tc>
          <w:tcPr>
            <w:tcW w:w="2500" w:type="dxa"/>
            <w:tcBorders>
              <w:top w:val="nil"/>
              <w:left w:val="nil"/>
              <w:bottom w:val="nil"/>
              <w:right w:val="nil"/>
            </w:tcBorders>
            <w:shd w:val="clear" w:color="auto" w:fill="auto"/>
            <w:noWrap/>
            <w:vAlign w:val="bottom"/>
            <w:hideMark/>
          </w:tcPr>
          <w:p w14:paraId="1AFC4544" w14:textId="77777777" w:rsidR="00383CEB" w:rsidRPr="00383CEB" w:rsidRDefault="00383CEB" w:rsidP="00383CEB">
            <w:pPr>
              <w:spacing w:after="0" w:line="240" w:lineRule="auto"/>
              <w:jc w:val="center"/>
              <w:rPr>
                <w:rFonts w:ascii="Calibri" w:eastAsia="Times New Roman" w:hAnsi="Calibri" w:cs="Calibri"/>
                <w:color w:val="000000"/>
                <w:lang w:eastAsia="en-NZ"/>
              </w:rPr>
            </w:pPr>
            <w:r w:rsidRPr="00383CEB">
              <w:rPr>
                <w:rFonts w:ascii="Calibri" w:eastAsia="Times New Roman" w:hAnsi="Calibri" w:cs="Calibri"/>
                <w:color w:val="000000"/>
                <w:lang w:eastAsia="en-NZ"/>
              </w:rPr>
              <w:t>11</w:t>
            </w:r>
          </w:p>
        </w:tc>
        <w:tc>
          <w:tcPr>
            <w:tcW w:w="1880" w:type="dxa"/>
            <w:tcBorders>
              <w:top w:val="nil"/>
              <w:left w:val="nil"/>
              <w:bottom w:val="nil"/>
              <w:right w:val="nil"/>
            </w:tcBorders>
            <w:shd w:val="clear" w:color="auto" w:fill="auto"/>
            <w:noWrap/>
            <w:vAlign w:val="bottom"/>
            <w:hideMark/>
          </w:tcPr>
          <w:p w14:paraId="5AFA0C8E" w14:textId="77777777" w:rsidR="00383CEB" w:rsidRPr="00383CEB" w:rsidRDefault="00383CEB" w:rsidP="00383CEB">
            <w:pPr>
              <w:spacing w:after="0" w:line="240" w:lineRule="auto"/>
              <w:jc w:val="center"/>
              <w:rPr>
                <w:rFonts w:ascii="Calibri" w:eastAsia="Times New Roman" w:hAnsi="Calibri" w:cs="Calibri"/>
                <w:color w:val="000000"/>
                <w:lang w:eastAsia="en-NZ"/>
              </w:rPr>
            </w:pPr>
            <w:r w:rsidRPr="00383CEB">
              <w:rPr>
                <w:rFonts w:ascii="Calibri" w:eastAsia="Times New Roman" w:hAnsi="Calibri" w:cs="Calibri"/>
                <w:color w:val="000000"/>
                <w:lang w:eastAsia="en-NZ"/>
              </w:rPr>
              <w:t>9</w:t>
            </w:r>
          </w:p>
        </w:tc>
      </w:tr>
      <w:tr w:rsidR="00383CEB" w:rsidRPr="00383CEB" w14:paraId="36B74367" w14:textId="77777777" w:rsidTr="00383CEB">
        <w:trPr>
          <w:trHeight w:val="290"/>
        </w:trPr>
        <w:tc>
          <w:tcPr>
            <w:tcW w:w="960" w:type="dxa"/>
            <w:tcBorders>
              <w:top w:val="nil"/>
              <w:left w:val="nil"/>
              <w:bottom w:val="nil"/>
              <w:right w:val="nil"/>
            </w:tcBorders>
            <w:shd w:val="clear" w:color="auto" w:fill="auto"/>
            <w:noWrap/>
            <w:vAlign w:val="bottom"/>
            <w:hideMark/>
          </w:tcPr>
          <w:p w14:paraId="073C11E2" w14:textId="77777777" w:rsidR="00383CEB" w:rsidRPr="00383CEB" w:rsidRDefault="00383CEB" w:rsidP="00383CEB">
            <w:pPr>
              <w:spacing w:after="0" w:line="240" w:lineRule="auto"/>
              <w:rPr>
                <w:rFonts w:ascii="Calibri" w:eastAsia="Times New Roman" w:hAnsi="Calibri" w:cs="Calibri"/>
                <w:color w:val="000000"/>
                <w:lang w:eastAsia="en-NZ"/>
              </w:rPr>
            </w:pPr>
            <w:r w:rsidRPr="00383CEB">
              <w:rPr>
                <w:rFonts w:ascii="Calibri" w:eastAsia="Times New Roman" w:hAnsi="Calibri" w:cs="Calibri"/>
                <w:color w:val="000000"/>
                <w:lang w:eastAsia="en-NZ"/>
              </w:rPr>
              <w:t>Mexico</w:t>
            </w:r>
          </w:p>
        </w:tc>
        <w:tc>
          <w:tcPr>
            <w:tcW w:w="2500" w:type="dxa"/>
            <w:tcBorders>
              <w:top w:val="nil"/>
              <w:left w:val="nil"/>
              <w:bottom w:val="nil"/>
              <w:right w:val="nil"/>
            </w:tcBorders>
            <w:shd w:val="clear" w:color="auto" w:fill="auto"/>
            <w:noWrap/>
            <w:vAlign w:val="bottom"/>
            <w:hideMark/>
          </w:tcPr>
          <w:p w14:paraId="2686B4C3" w14:textId="77777777" w:rsidR="00383CEB" w:rsidRPr="00383CEB" w:rsidRDefault="00383CEB" w:rsidP="00383CEB">
            <w:pPr>
              <w:spacing w:after="0" w:line="240" w:lineRule="auto"/>
              <w:jc w:val="center"/>
              <w:rPr>
                <w:rFonts w:ascii="Calibri" w:eastAsia="Times New Roman" w:hAnsi="Calibri" w:cs="Calibri"/>
                <w:color w:val="000000"/>
                <w:lang w:eastAsia="en-NZ"/>
              </w:rPr>
            </w:pPr>
            <w:r w:rsidRPr="00383CEB">
              <w:rPr>
                <w:rFonts w:ascii="Calibri" w:eastAsia="Times New Roman" w:hAnsi="Calibri" w:cs="Calibri"/>
                <w:color w:val="000000"/>
                <w:lang w:eastAsia="en-NZ"/>
              </w:rPr>
              <w:t>35</w:t>
            </w:r>
          </w:p>
        </w:tc>
        <w:tc>
          <w:tcPr>
            <w:tcW w:w="1880" w:type="dxa"/>
            <w:tcBorders>
              <w:top w:val="nil"/>
              <w:left w:val="nil"/>
              <w:bottom w:val="nil"/>
              <w:right w:val="nil"/>
            </w:tcBorders>
            <w:shd w:val="clear" w:color="auto" w:fill="auto"/>
            <w:noWrap/>
            <w:vAlign w:val="bottom"/>
            <w:hideMark/>
          </w:tcPr>
          <w:p w14:paraId="18D17662" w14:textId="77777777" w:rsidR="00383CEB" w:rsidRPr="00383CEB" w:rsidRDefault="00383CEB" w:rsidP="00383CEB">
            <w:pPr>
              <w:spacing w:after="0" w:line="240" w:lineRule="auto"/>
              <w:jc w:val="center"/>
              <w:rPr>
                <w:rFonts w:ascii="Calibri" w:eastAsia="Times New Roman" w:hAnsi="Calibri" w:cs="Calibri"/>
                <w:color w:val="000000"/>
                <w:lang w:eastAsia="en-NZ"/>
              </w:rPr>
            </w:pPr>
            <w:r w:rsidRPr="00383CEB">
              <w:rPr>
                <w:rFonts w:ascii="Calibri" w:eastAsia="Times New Roman" w:hAnsi="Calibri" w:cs="Calibri"/>
                <w:color w:val="000000"/>
                <w:lang w:eastAsia="en-NZ"/>
              </w:rPr>
              <w:t>39</w:t>
            </w:r>
          </w:p>
        </w:tc>
      </w:tr>
      <w:tr w:rsidR="00383CEB" w:rsidRPr="00383CEB" w14:paraId="61199077" w14:textId="77777777" w:rsidTr="00383CEB">
        <w:trPr>
          <w:trHeight w:val="290"/>
        </w:trPr>
        <w:tc>
          <w:tcPr>
            <w:tcW w:w="960" w:type="dxa"/>
            <w:tcBorders>
              <w:top w:val="nil"/>
              <w:left w:val="nil"/>
              <w:bottom w:val="nil"/>
              <w:right w:val="nil"/>
            </w:tcBorders>
            <w:shd w:val="clear" w:color="auto" w:fill="auto"/>
            <w:noWrap/>
            <w:vAlign w:val="bottom"/>
            <w:hideMark/>
          </w:tcPr>
          <w:p w14:paraId="2FA189EE" w14:textId="77777777" w:rsidR="00383CEB" w:rsidRPr="00383CEB" w:rsidRDefault="00383CEB" w:rsidP="00383CEB">
            <w:pPr>
              <w:spacing w:after="0" w:line="240" w:lineRule="auto"/>
              <w:rPr>
                <w:rFonts w:ascii="Calibri" w:eastAsia="Times New Roman" w:hAnsi="Calibri" w:cs="Calibri"/>
                <w:color w:val="000000"/>
                <w:lang w:eastAsia="en-NZ"/>
              </w:rPr>
            </w:pPr>
            <w:r w:rsidRPr="00383CEB">
              <w:rPr>
                <w:rFonts w:ascii="Calibri" w:eastAsia="Times New Roman" w:hAnsi="Calibri" w:cs="Calibri"/>
                <w:color w:val="000000"/>
                <w:lang w:eastAsia="en-NZ"/>
              </w:rPr>
              <w:t>Nigeria</w:t>
            </w:r>
          </w:p>
        </w:tc>
        <w:tc>
          <w:tcPr>
            <w:tcW w:w="2500" w:type="dxa"/>
            <w:tcBorders>
              <w:top w:val="nil"/>
              <w:left w:val="nil"/>
              <w:bottom w:val="nil"/>
              <w:right w:val="nil"/>
            </w:tcBorders>
            <w:shd w:val="clear" w:color="auto" w:fill="auto"/>
            <w:noWrap/>
            <w:vAlign w:val="bottom"/>
            <w:hideMark/>
          </w:tcPr>
          <w:p w14:paraId="63353C30" w14:textId="77777777" w:rsidR="00383CEB" w:rsidRPr="00383CEB" w:rsidRDefault="00383CEB" w:rsidP="00383CEB">
            <w:pPr>
              <w:spacing w:after="0" w:line="240" w:lineRule="auto"/>
              <w:jc w:val="center"/>
              <w:rPr>
                <w:rFonts w:ascii="Calibri" w:eastAsia="Times New Roman" w:hAnsi="Calibri" w:cs="Calibri"/>
                <w:color w:val="000000"/>
                <w:lang w:eastAsia="en-NZ"/>
              </w:rPr>
            </w:pPr>
            <w:r w:rsidRPr="00383CEB">
              <w:rPr>
                <w:rFonts w:ascii="Calibri" w:eastAsia="Times New Roman" w:hAnsi="Calibri" w:cs="Calibri"/>
                <w:color w:val="000000"/>
                <w:lang w:eastAsia="en-NZ"/>
              </w:rPr>
              <w:t>13</w:t>
            </w:r>
          </w:p>
        </w:tc>
        <w:tc>
          <w:tcPr>
            <w:tcW w:w="1880" w:type="dxa"/>
            <w:tcBorders>
              <w:top w:val="nil"/>
              <w:left w:val="nil"/>
              <w:bottom w:val="nil"/>
              <w:right w:val="nil"/>
            </w:tcBorders>
            <w:shd w:val="clear" w:color="auto" w:fill="auto"/>
            <w:noWrap/>
            <w:vAlign w:val="bottom"/>
            <w:hideMark/>
          </w:tcPr>
          <w:p w14:paraId="0C52D748" w14:textId="77777777" w:rsidR="00383CEB" w:rsidRPr="00383CEB" w:rsidRDefault="00383CEB" w:rsidP="00383CEB">
            <w:pPr>
              <w:spacing w:after="0" w:line="240" w:lineRule="auto"/>
              <w:jc w:val="center"/>
              <w:rPr>
                <w:rFonts w:ascii="Calibri" w:eastAsia="Times New Roman" w:hAnsi="Calibri" w:cs="Calibri"/>
                <w:color w:val="000000"/>
                <w:lang w:eastAsia="en-NZ"/>
              </w:rPr>
            </w:pPr>
            <w:r w:rsidRPr="00383CEB">
              <w:rPr>
                <w:rFonts w:ascii="Calibri" w:eastAsia="Times New Roman" w:hAnsi="Calibri" w:cs="Calibri"/>
                <w:color w:val="000000"/>
                <w:lang w:eastAsia="en-NZ"/>
              </w:rPr>
              <w:t>12</w:t>
            </w:r>
          </w:p>
        </w:tc>
      </w:tr>
      <w:tr w:rsidR="00383CEB" w:rsidRPr="00383CEB" w14:paraId="756765BB" w14:textId="77777777" w:rsidTr="00383CEB">
        <w:trPr>
          <w:trHeight w:val="290"/>
        </w:trPr>
        <w:tc>
          <w:tcPr>
            <w:tcW w:w="960" w:type="dxa"/>
            <w:tcBorders>
              <w:top w:val="nil"/>
              <w:left w:val="nil"/>
              <w:bottom w:val="nil"/>
              <w:right w:val="nil"/>
            </w:tcBorders>
            <w:shd w:val="clear" w:color="auto" w:fill="auto"/>
            <w:noWrap/>
            <w:vAlign w:val="bottom"/>
            <w:hideMark/>
          </w:tcPr>
          <w:p w14:paraId="2CC7FE9F" w14:textId="77777777" w:rsidR="00383CEB" w:rsidRPr="00383CEB" w:rsidRDefault="00383CEB" w:rsidP="00383CEB">
            <w:pPr>
              <w:spacing w:after="0" w:line="240" w:lineRule="auto"/>
              <w:rPr>
                <w:rFonts w:ascii="Calibri" w:eastAsia="Times New Roman" w:hAnsi="Calibri" w:cs="Calibri"/>
                <w:color w:val="000000"/>
                <w:lang w:eastAsia="en-NZ"/>
              </w:rPr>
            </w:pPr>
            <w:r w:rsidRPr="00383CEB">
              <w:rPr>
                <w:rFonts w:ascii="Calibri" w:eastAsia="Times New Roman" w:hAnsi="Calibri" w:cs="Calibri"/>
                <w:color w:val="000000"/>
                <w:lang w:eastAsia="en-NZ"/>
              </w:rPr>
              <w:t>Paraguay</w:t>
            </w:r>
          </w:p>
        </w:tc>
        <w:tc>
          <w:tcPr>
            <w:tcW w:w="2500" w:type="dxa"/>
            <w:tcBorders>
              <w:top w:val="nil"/>
              <w:left w:val="nil"/>
              <w:bottom w:val="nil"/>
              <w:right w:val="nil"/>
            </w:tcBorders>
            <w:shd w:val="clear" w:color="auto" w:fill="auto"/>
            <w:noWrap/>
            <w:vAlign w:val="bottom"/>
            <w:hideMark/>
          </w:tcPr>
          <w:p w14:paraId="0F7FE7FD" w14:textId="77777777" w:rsidR="00383CEB" w:rsidRPr="00383CEB" w:rsidRDefault="00383CEB" w:rsidP="00383CEB">
            <w:pPr>
              <w:spacing w:after="0" w:line="240" w:lineRule="auto"/>
              <w:jc w:val="center"/>
              <w:rPr>
                <w:rFonts w:ascii="Calibri" w:eastAsia="Times New Roman" w:hAnsi="Calibri" w:cs="Calibri"/>
                <w:color w:val="000000"/>
                <w:lang w:eastAsia="en-NZ"/>
              </w:rPr>
            </w:pPr>
            <w:r w:rsidRPr="00383CEB">
              <w:rPr>
                <w:rFonts w:ascii="Calibri" w:eastAsia="Times New Roman" w:hAnsi="Calibri" w:cs="Calibri"/>
                <w:color w:val="000000"/>
                <w:lang w:eastAsia="en-NZ"/>
              </w:rPr>
              <w:t>11</w:t>
            </w:r>
          </w:p>
        </w:tc>
        <w:tc>
          <w:tcPr>
            <w:tcW w:w="1880" w:type="dxa"/>
            <w:tcBorders>
              <w:top w:val="nil"/>
              <w:left w:val="nil"/>
              <w:bottom w:val="nil"/>
              <w:right w:val="nil"/>
            </w:tcBorders>
            <w:shd w:val="clear" w:color="auto" w:fill="auto"/>
            <w:noWrap/>
            <w:vAlign w:val="bottom"/>
            <w:hideMark/>
          </w:tcPr>
          <w:p w14:paraId="38F3A0AA" w14:textId="77777777" w:rsidR="00383CEB" w:rsidRPr="00383CEB" w:rsidRDefault="00383CEB" w:rsidP="00383CEB">
            <w:pPr>
              <w:spacing w:after="0" w:line="240" w:lineRule="auto"/>
              <w:jc w:val="center"/>
              <w:rPr>
                <w:rFonts w:ascii="Calibri" w:eastAsia="Times New Roman" w:hAnsi="Calibri" w:cs="Calibri"/>
                <w:color w:val="FF0000"/>
                <w:lang w:eastAsia="en-NZ"/>
              </w:rPr>
            </w:pPr>
            <w:r w:rsidRPr="00383CEB">
              <w:rPr>
                <w:rFonts w:ascii="Calibri" w:eastAsia="Times New Roman" w:hAnsi="Calibri" w:cs="Calibri"/>
                <w:color w:val="FF0000"/>
                <w:lang w:eastAsia="en-NZ"/>
              </w:rPr>
              <w:t>0</w:t>
            </w:r>
          </w:p>
        </w:tc>
      </w:tr>
      <w:tr w:rsidR="00383CEB" w:rsidRPr="00383CEB" w14:paraId="54F7043C" w14:textId="77777777" w:rsidTr="00383CEB">
        <w:trPr>
          <w:trHeight w:val="290"/>
        </w:trPr>
        <w:tc>
          <w:tcPr>
            <w:tcW w:w="960" w:type="dxa"/>
            <w:tcBorders>
              <w:top w:val="nil"/>
              <w:left w:val="nil"/>
              <w:bottom w:val="nil"/>
              <w:right w:val="nil"/>
            </w:tcBorders>
            <w:shd w:val="clear" w:color="auto" w:fill="auto"/>
            <w:noWrap/>
            <w:vAlign w:val="bottom"/>
            <w:hideMark/>
          </w:tcPr>
          <w:p w14:paraId="1AB6BE2F" w14:textId="77777777" w:rsidR="00383CEB" w:rsidRPr="00383CEB" w:rsidRDefault="00383CEB" w:rsidP="00383CEB">
            <w:pPr>
              <w:spacing w:after="0" w:line="240" w:lineRule="auto"/>
              <w:rPr>
                <w:rFonts w:ascii="Calibri" w:eastAsia="Times New Roman" w:hAnsi="Calibri" w:cs="Calibri"/>
                <w:color w:val="000000"/>
                <w:lang w:eastAsia="en-NZ"/>
              </w:rPr>
            </w:pPr>
            <w:r w:rsidRPr="00383CEB">
              <w:rPr>
                <w:rFonts w:ascii="Calibri" w:eastAsia="Times New Roman" w:hAnsi="Calibri" w:cs="Calibri"/>
                <w:color w:val="000000"/>
                <w:lang w:eastAsia="en-NZ"/>
              </w:rPr>
              <w:t>Philippines</w:t>
            </w:r>
          </w:p>
        </w:tc>
        <w:tc>
          <w:tcPr>
            <w:tcW w:w="2500" w:type="dxa"/>
            <w:tcBorders>
              <w:top w:val="nil"/>
              <w:left w:val="nil"/>
              <w:bottom w:val="nil"/>
              <w:right w:val="nil"/>
            </w:tcBorders>
            <w:shd w:val="clear" w:color="auto" w:fill="auto"/>
            <w:noWrap/>
            <w:vAlign w:val="bottom"/>
            <w:hideMark/>
          </w:tcPr>
          <w:p w14:paraId="6FAABF4D" w14:textId="77777777" w:rsidR="00383CEB" w:rsidRPr="00383CEB" w:rsidRDefault="00383CEB" w:rsidP="00383CEB">
            <w:pPr>
              <w:spacing w:after="0" w:line="240" w:lineRule="auto"/>
              <w:jc w:val="center"/>
              <w:rPr>
                <w:rFonts w:ascii="Calibri" w:eastAsia="Times New Roman" w:hAnsi="Calibri" w:cs="Calibri"/>
                <w:color w:val="000000"/>
                <w:lang w:eastAsia="en-NZ"/>
              </w:rPr>
            </w:pPr>
            <w:r w:rsidRPr="00383CEB">
              <w:rPr>
                <w:rFonts w:ascii="Calibri" w:eastAsia="Times New Roman" w:hAnsi="Calibri" w:cs="Calibri"/>
                <w:color w:val="000000"/>
                <w:lang w:eastAsia="en-NZ"/>
              </w:rPr>
              <w:t>41</w:t>
            </w:r>
          </w:p>
        </w:tc>
        <w:tc>
          <w:tcPr>
            <w:tcW w:w="1880" w:type="dxa"/>
            <w:tcBorders>
              <w:top w:val="nil"/>
              <w:left w:val="nil"/>
              <w:bottom w:val="nil"/>
              <w:right w:val="nil"/>
            </w:tcBorders>
            <w:shd w:val="clear" w:color="auto" w:fill="auto"/>
            <w:noWrap/>
            <w:vAlign w:val="bottom"/>
            <w:hideMark/>
          </w:tcPr>
          <w:p w14:paraId="0479EFF4" w14:textId="77777777" w:rsidR="00383CEB" w:rsidRPr="00383CEB" w:rsidRDefault="00383CEB" w:rsidP="00383CEB">
            <w:pPr>
              <w:spacing w:after="0" w:line="240" w:lineRule="auto"/>
              <w:jc w:val="center"/>
              <w:rPr>
                <w:rFonts w:ascii="Calibri" w:eastAsia="Times New Roman" w:hAnsi="Calibri" w:cs="Calibri"/>
                <w:color w:val="000000"/>
                <w:lang w:eastAsia="en-NZ"/>
              </w:rPr>
            </w:pPr>
            <w:r w:rsidRPr="00383CEB">
              <w:rPr>
                <w:rFonts w:ascii="Calibri" w:eastAsia="Times New Roman" w:hAnsi="Calibri" w:cs="Calibri"/>
                <w:color w:val="000000"/>
                <w:lang w:eastAsia="en-NZ"/>
              </w:rPr>
              <w:t>42</w:t>
            </w:r>
          </w:p>
        </w:tc>
      </w:tr>
      <w:tr w:rsidR="00383CEB" w:rsidRPr="00383CEB" w14:paraId="24C73F35" w14:textId="77777777" w:rsidTr="00383CEB">
        <w:trPr>
          <w:trHeight w:val="290"/>
        </w:trPr>
        <w:tc>
          <w:tcPr>
            <w:tcW w:w="960" w:type="dxa"/>
            <w:tcBorders>
              <w:top w:val="nil"/>
              <w:left w:val="nil"/>
              <w:bottom w:val="nil"/>
              <w:right w:val="nil"/>
            </w:tcBorders>
            <w:shd w:val="clear" w:color="auto" w:fill="auto"/>
            <w:noWrap/>
            <w:vAlign w:val="bottom"/>
            <w:hideMark/>
          </w:tcPr>
          <w:p w14:paraId="236A4C2A" w14:textId="77777777" w:rsidR="00383CEB" w:rsidRPr="00383CEB" w:rsidRDefault="00383CEB" w:rsidP="00383CEB">
            <w:pPr>
              <w:spacing w:after="0" w:line="240" w:lineRule="auto"/>
              <w:rPr>
                <w:rFonts w:ascii="Calibri" w:eastAsia="Times New Roman" w:hAnsi="Calibri" w:cs="Calibri"/>
                <w:color w:val="000000"/>
                <w:lang w:eastAsia="en-NZ"/>
              </w:rPr>
            </w:pPr>
            <w:r w:rsidRPr="00383CEB">
              <w:rPr>
                <w:rFonts w:ascii="Calibri" w:eastAsia="Times New Roman" w:hAnsi="Calibri" w:cs="Calibri"/>
                <w:color w:val="000000"/>
                <w:lang w:eastAsia="en-NZ"/>
              </w:rPr>
              <w:t>South Africa</w:t>
            </w:r>
          </w:p>
        </w:tc>
        <w:tc>
          <w:tcPr>
            <w:tcW w:w="2500" w:type="dxa"/>
            <w:tcBorders>
              <w:top w:val="nil"/>
              <w:left w:val="nil"/>
              <w:bottom w:val="nil"/>
              <w:right w:val="nil"/>
            </w:tcBorders>
            <w:shd w:val="clear" w:color="auto" w:fill="auto"/>
            <w:noWrap/>
            <w:vAlign w:val="bottom"/>
            <w:hideMark/>
          </w:tcPr>
          <w:p w14:paraId="3FF89CFB" w14:textId="77777777" w:rsidR="00383CEB" w:rsidRPr="00383CEB" w:rsidRDefault="00383CEB" w:rsidP="00383CEB">
            <w:pPr>
              <w:spacing w:after="0" w:line="240" w:lineRule="auto"/>
              <w:jc w:val="center"/>
              <w:rPr>
                <w:rFonts w:ascii="Calibri" w:eastAsia="Times New Roman" w:hAnsi="Calibri" w:cs="Calibri"/>
                <w:color w:val="000000"/>
                <w:lang w:eastAsia="en-NZ"/>
              </w:rPr>
            </w:pPr>
            <w:r w:rsidRPr="00383CEB">
              <w:rPr>
                <w:rFonts w:ascii="Calibri" w:eastAsia="Times New Roman" w:hAnsi="Calibri" w:cs="Calibri"/>
                <w:color w:val="000000"/>
                <w:lang w:eastAsia="en-NZ"/>
              </w:rPr>
              <w:t>24</w:t>
            </w:r>
          </w:p>
        </w:tc>
        <w:tc>
          <w:tcPr>
            <w:tcW w:w="1880" w:type="dxa"/>
            <w:tcBorders>
              <w:top w:val="nil"/>
              <w:left w:val="nil"/>
              <w:bottom w:val="nil"/>
              <w:right w:val="nil"/>
            </w:tcBorders>
            <w:shd w:val="clear" w:color="auto" w:fill="auto"/>
            <w:noWrap/>
            <w:vAlign w:val="bottom"/>
            <w:hideMark/>
          </w:tcPr>
          <w:p w14:paraId="3FAB2C17" w14:textId="77777777" w:rsidR="00383CEB" w:rsidRPr="00383CEB" w:rsidRDefault="00383CEB" w:rsidP="00383CEB">
            <w:pPr>
              <w:spacing w:after="0" w:line="240" w:lineRule="auto"/>
              <w:jc w:val="center"/>
              <w:rPr>
                <w:rFonts w:ascii="Calibri" w:eastAsia="Times New Roman" w:hAnsi="Calibri" w:cs="Calibri"/>
                <w:color w:val="000000"/>
                <w:lang w:eastAsia="en-NZ"/>
              </w:rPr>
            </w:pPr>
            <w:r w:rsidRPr="00383CEB">
              <w:rPr>
                <w:rFonts w:ascii="Calibri" w:eastAsia="Times New Roman" w:hAnsi="Calibri" w:cs="Calibri"/>
                <w:color w:val="000000"/>
                <w:lang w:eastAsia="en-NZ"/>
              </w:rPr>
              <w:t>24</w:t>
            </w:r>
          </w:p>
        </w:tc>
      </w:tr>
      <w:tr w:rsidR="00383CEB" w:rsidRPr="00383CEB" w14:paraId="08ED693E" w14:textId="77777777" w:rsidTr="00383CEB">
        <w:trPr>
          <w:trHeight w:val="290"/>
        </w:trPr>
        <w:tc>
          <w:tcPr>
            <w:tcW w:w="960" w:type="dxa"/>
            <w:tcBorders>
              <w:top w:val="nil"/>
              <w:left w:val="nil"/>
              <w:bottom w:val="nil"/>
              <w:right w:val="nil"/>
            </w:tcBorders>
            <w:shd w:val="clear" w:color="auto" w:fill="auto"/>
            <w:noWrap/>
            <w:vAlign w:val="bottom"/>
            <w:hideMark/>
          </w:tcPr>
          <w:p w14:paraId="0AD0875C" w14:textId="77777777" w:rsidR="00383CEB" w:rsidRPr="00383CEB" w:rsidRDefault="00383CEB" w:rsidP="00383CEB">
            <w:pPr>
              <w:spacing w:after="0" w:line="240" w:lineRule="auto"/>
              <w:rPr>
                <w:rFonts w:ascii="Calibri" w:eastAsia="Times New Roman" w:hAnsi="Calibri" w:cs="Calibri"/>
                <w:color w:val="000000"/>
                <w:lang w:eastAsia="en-NZ"/>
              </w:rPr>
            </w:pPr>
            <w:r w:rsidRPr="00383CEB">
              <w:rPr>
                <w:rFonts w:ascii="Calibri" w:eastAsia="Times New Roman" w:hAnsi="Calibri" w:cs="Calibri"/>
                <w:color w:val="000000"/>
                <w:lang w:eastAsia="en-NZ"/>
              </w:rPr>
              <w:t>Tunisia</w:t>
            </w:r>
          </w:p>
        </w:tc>
        <w:tc>
          <w:tcPr>
            <w:tcW w:w="2500" w:type="dxa"/>
            <w:tcBorders>
              <w:top w:val="nil"/>
              <w:left w:val="nil"/>
              <w:bottom w:val="nil"/>
              <w:right w:val="nil"/>
            </w:tcBorders>
            <w:shd w:val="clear" w:color="auto" w:fill="auto"/>
            <w:noWrap/>
            <w:vAlign w:val="bottom"/>
            <w:hideMark/>
          </w:tcPr>
          <w:p w14:paraId="7CE58340" w14:textId="77777777" w:rsidR="00383CEB" w:rsidRPr="00383CEB" w:rsidRDefault="00383CEB" w:rsidP="00383CEB">
            <w:pPr>
              <w:spacing w:after="0" w:line="240" w:lineRule="auto"/>
              <w:jc w:val="center"/>
              <w:rPr>
                <w:rFonts w:ascii="Calibri" w:eastAsia="Times New Roman" w:hAnsi="Calibri" w:cs="Calibri"/>
                <w:color w:val="000000"/>
                <w:lang w:eastAsia="en-NZ"/>
              </w:rPr>
            </w:pPr>
            <w:r w:rsidRPr="00383CEB">
              <w:rPr>
                <w:rFonts w:ascii="Calibri" w:eastAsia="Times New Roman" w:hAnsi="Calibri" w:cs="Calibri"/>
                <w:color w:val="000000"/>
                <w:lang w:eastAsia="en-NZ"/>
              </w:rPr>
              <w:t>2</w:t>
            </w:r>
          </w:p>
        </w:tc>
        <w:tc>
          <w:tcPr>
            <w:tcW w:w="1880" w:type="dxa"/>
            <w:tcBorders>
              <w:top w:val="nil"/>
              <w:left w:val="nil"/>
              <w:bottom w:val="nil"/>
              <w:right w:val="nil"/>
            </w:tcBorders>
            <w:shd w:val="clear" w:color="auto" w:fill="auto"/>
            <w:noWrap/>
            <w:vAlign w:val="bottom"/>
            <w:hideMark/>
          </w:tcPr>
          <w:p w14:paraId="0BE91C40" w14:textId="77777777" w:rsidR="00383CEB" w:rsidRPr="00383CEB" w:rsidRDefault="00383CEB" w:rsidP="00383CEB">
            <w:pPr>
              <w:spacing w:after="0" w:line="240" w:lineRule="auto"/>
              <w:jc w:val="center"/>
              <w:rPr>
                <w:rFonts w:ascii="Calibri" w:eastAsia="Times New Roman" w:hAnsi="Calibri" w:cs="Calibri"/>
                <w:color w:val="FF0000"/>
                <w:lang w:eastAsia="en-NZ"/>
              </w:rPr>
            </w:pPr>
            <w:r w:rsidRPr="00383CEB">
              <w:rPr>
                <w:rFonts w:ascii="Calibri" w:eastAsia="Times New Roman" w:hAnsi="Calibri" w:cs="Calibri"/>
                <w:color w:val="FF0000"/>
                <w:lang w:eastAsia="en-NZ"/>
              </w:rPr>
              <w:t>0</w:t>
            </w:r>
          </w:p>
        </w:tc>
      </w:tr>
      <w:tr w:rsidR="00383CEB" w:rsidRPr="00383CEB" w14:paraId="701FA421" w14:textId="77777777" w:rsidTr="00383CEB">
        <w:trPr>
          <w:trHeight w:val="290"/>
        </w:trPr>
        <w:tc>
          <w:tcPr>
            <w:tcW w:w="960" w:type="dxa"/>
            <w:tcBorders>
              <w:top w:val="nil"/>
              <w:left w:val="nil"/>
              <w:bottom w:val="nil"/>
              <w:right w:val="nil"/>
            </w:tcBorders>
            <w:shd w:val="clear" w:color="auto" w:fill="auto"/>
            <w:noWrap/>
            <w:vAlign w:val="bottom"/>
            <w:hideMark/>
          </w:tcPr>
          <w:p w14:paraId="16EB2686" w14:textId="77777777" w:rsidR="00383CEB" w:rsidRPr="00383CEB" w:rsidRDefault="00383CEB" w:rsidP="00383CEB">
            <w:pPr>
              <w:spacing w:after="0" w:line="240" w:lineRule="auto"/>
              <w:rPr>
                <w:rFonts w:ascii="Calibri" w:eastAsia="Times New Roman" w:hAnsi="Calibri" w:cs="Calibri"/>
                <w:color w:val="000000"/>
                <w:lang w:eastAsia="en-NZ"/>
              </w:rPr>
            </w:pPr>
            <w:r w:rsidRPr="00383CEB">
              <w:rPr>
                <w:rFonts w:ascii="Calibri" w:eastAsia="Times New Roman" w:hAnsi="Calibri" w:cs="Calibri"/>
                <w:color w:val="000000"/>
                <w:lang w:eastAsia="en-NZ"/>
              </w:rPr>
              <w:t>U.S.A.</w:t>
            </w:r>
          </w:p>
        </w:tc>
        <w:tc>
          <w:tcPr>
            <w:tcW w:w="2500" w:type="dxa"/>
            <w:tcBorders>
              <w:top w:val="nil"/>
              <w:left w:val="nil"/>
              <w:bottom w:val="nil"/>
              <w:right w:val="nil"/>
            </w:tcBorders>
            <w:shd w:val="clear" w:color="auto" w:fill="auto"/>
            <w:noWrap/>
            <w:vAlign w:val="bottom"/>
            <w:hideMark/>
          </w:tcPr>
          <w:p w14:paraId="5631A298" w14:textId="77777777" w:rsidR="00383CEB" w:rsidRPr="00383CEB" w:rsidRDefault="00383CEB" w:rsidP="00383CEB">
            <w:pPr>
              <w:spacing w:after="0" w:line="240" w:lineRule="auto"/>
              <w:jc w:val="center"/>
              <w:rPr>
                <w:rFonts w:ascii="Calibri" w:eastAsia="Times New Roman" w:hAnsi="Calibri" w:cs="Calibri"/>
                <w:color w:val="000000"/>
                <w:lang w:eastAsia="en-NZ"/>
              </w:rPr>
            </w:pPr>
            <w:r w:rsidRPr="00383CEB">
              <w:rPr>
                <w:rFonts w:ascii="Calibri" w:eastAsia="Times New Roman" w:hAnsi="Calibri" w:cs="Calibri"/>
                <w:color w:val="000000"/>
                <w:lang w:eastAsia="en-NZ"/>
              </w:rPr>
              <w:t>22</w:t>
            </w:r>
          </w:p>
        </w:tc>
        <w:tc>
          <w:tcPr>
            <w:tcW w:w="1880" w:type="dxa"/>
            <w:tcBorders>
              <w:top w:val="nil"/>
              <w:left w:val="nil"/>
              <w:bottom w:val="nil"/>
              <w:right w:val="nil"/>
            </w:tcBorders>
            <w:shd w:val="clear" w:color="auto" w:fill="auto"/>
            <w:noWrap/>
            <w:vAlign w:val="bottom"/>
            <w:hideMark/>
          </w:tcPr>
          <w:p w14:paraId="493778BC" w14:textId="77777777" w:rsidR="00383CEB" w:rsidRPr="00383CEB" w:rsidRDefault="00383CEB" w:rsidP="00383CEB">
            <w:pPr>
              <w:spacing w:after="0" w:line="240" w:lineRule="auto"/>
              <w:jc w:val="center"/>
              <w:rPr>
                <w:rFonts w:ascii="Calibri" w:eastAsia="Times New Roman" w:hAnsi="Calibri" w:cs="Calibri"/>
                <w:color w:val="FF0000"/>
                <w:lang w:eastAsia="en-NZ"/>
              </w:rPr>
            </w:pPr>
            <w:r w:rsidRPr="00383CEB">
              <w:rPr>
                <w:rFonts w:ascii="Calibri" w:eastAsia="Times New Roman" w:hAnsi="Calibri" w:cs="Calibri"/>
                <w:color w:val="FF0000"/>
                <w:lang w:eastAsia="en-NZ"/>
              </w:rPr>
              <w:t>3</w:t>
            </w:r>
          </w:p>
        </w:tc>
      </w:tr>
      <w:tr w:rsidR="00383CEB" w:rsidRPr="00383CEB" w14:paraId="6F749F92" w14:textId="77777777" w:rsidTr="00383CEB">
        <w:trPr>
          <w:trHeight w:val="290"/>
        </w:trPr>
        <w:tc>
          <w:tcPr>
            <w:tcW w:w="960" w:type="dxa"/>
            <w:tcBorders>
              <w:top w:val="nil"/>
              <w:left w:val="nil"/>
              <w:bottom w:val="nil"/>
              <w:right w:val="nil"/>
            </w:tcBorders>
            <w:shd w:val="clear" w:color="auto" w:fill="auto"/>
            <w:noWrap/>
            <w:vAlign w:val="bottom"/>
            <w:hideMark/>
          </w:tcPr>
          <w:p w14:paraId="08E86C0B" w14:textId="77777777" w:rsidR="00383CEB" w:rsidRPr="00383CEB" w:rsidRDefault="00383CEB" w:rsidP="00383CEB">
            <w:pPr>
              <w:spacing w:after="0" w:line="240" w:lineRule="auto"/>
              <w:rPr>
                <w:rFonts w:ascii="Calibri" w:eastAsia="Times New Roman" w:hAnsi="Calibri" w:cs="Calibri"/>
                <w:color w:val="000000"/>
                <w:lang w:eastAsia="en-NZ"/>
              </w:rPr>
            </w:pPr>
            <w:r w:rsidRPr="00383CEB">
              <w:rPr>
                <w:rFonts w:ascii="Calibri" w:eastAsia="Times New Roman" w:hAnsi="Calibri" w:cs="Calibri"/>
                <w:color w:val="000000"/>
                <w:lang w:eastAsia="en-NZ"/>
              </w:rPr>
              <w:t>Ukraine</w:t>
            </w:r>
          </w:p>
        </w:tc>
        <w:tc>
          <w:tcPr>
            <w:tcW w:w="2500" w:type="dxa"/>
            <w:tcBorders>
              <w:top w:val="nil"/>
              <w:left w:val="nil"/>
              <w:bottom w:val="nil"/>
              <w:right w:val="nil"/>
            </w:tcBorders>
            <w:shd w:val="clear" w:color="auto" w:fill="auto"/>
            <w:noWrap/>
            <w:vAlign w:val="bottom"/>
            <w:hideMark/>
          </w:tcPr>
          <w:p w14:paraId="5785A4C2" w14:textId="77777777" w:rsidR="00383CEB" w:rsidRPr="00383CEB" w:rsidRDefault="00383CEB" w:rsidP="00383CEB">
            <w:pPr>
              <w:spacing w:after="0" w:line="240" w:lineRule="auto"/>
              <w:jc w:val="center"/>
              <w:rPr>
                <w:rFonts w:ascii="Calibri" w:eastAsia="Times New Roman" w:hAnsi="Calibri" w:cs="Calibri"/>
                <w:color w:val="000000"/>
                <w:lang w:eastAsia="en-NZ"/>
              </w:rPr>
            </w:pPr>
            <w:r w:rsidRPr="00383CEB">
              <w:rPr>
                <w:rFonts w:ascii="Calibri" w:eastAsia="Times New Roman" w:hAnsi="Calibri" w:cs="Calibri"/>
                <w:color w:val="000000"/>
                <w:lang w:eastAsia="en-NZ"/>
              </w:rPr>
              <w:t>30</w:t>
            </w:r>
          </w:p>
        </w:tc>
        <w:tc>
          <w:tcPr>
            <w:tcW w:w="1880" w:type="dxa"/>
            <w:tcBorders>
              <w:top w:val="nil"/>
              <w:left w:val="nil"/>
              <w:bottom w:val="nil"/>
              <w:right w:val="nil"/>
            </w:tcBorders>
            <w:shd w:val="clear" w:color="auto" w:fill="auto"/>
            <w:noWrap/>
            <w:vAlign w:val="bottom"/>
            <w:hideMark/>
          </w:tcPr>
          <w:p w14:paraId="3D0E7A3F" w14:textId="77777777" w:rsidR="00383CEB" w:rsidRPr="00383CEB" w:rsidRDefault="00383CEB" w:rsidP="00383CEB">
            <w:pPr>
              <w:spacing w:after="0" w:line="240" w:lineRule="auto"/>
              <w:jc w:val="center"/>
              <w:rPr>
                <w:rFonts w:ascii="Calibri" w:eastAsia="Times New Roman" w:hAnsi="Calibri" w:cs="Calibri"/>
                <w:color w:val="000000"/>
                <w:lang w:eastAsia="en-NZ"/>
              </w:rPr>
            </w:pPr>
            <w:r w:rsidRPr="00383CEB">
              <w:rPr>
                <w:rFonts w:ascii="Calibri" w:eastAsia="Times New Roman" w:hAnsi="Calibri" w:cs="Calibri"/>
                <w:color w:val="000000"/>
                <w:lang w:eastAsia="en-NZ"/>
              </w:rPr>
              <w:t>27</w:t>
            </w:r>
          </w:p>
        </w:tc>
      </w:tr>
    </w:tbl>
    <w:p w14:paraId="50F12309" w14:textId="77777777" w:rsidR="00383CEB" w:rsidRDefault="00383CEB" w:rsidP="00734733">
      <w:pPr>
        <w:rPr>
          <w:b/>
          <w:sz w:val="24"/>
          <w:szCs w:val="24"/>
        </w:rPr>
      </w:pPr>
    </w:p>
    <w:bookmarkEnd w:id="9"/>
    <w:p w14:paraId="2DB70893" w14:textId="4AE3C4EB" w:rsidR="00CE5B80" w:rsidRDefault="00383CEB" w:rsidP="002357E2">
      <w:pPr>
        <w:rPr>
          <w:b/>
          <w:sz w:val="24"/>
          <w:szCs w:val="24"/>
        </w:rPr>
      </w:pPr>
      <w:r>
        <w:rPr>
          <w:noProof/>
        </w:rPr>
        <w:drawing>
          <wp:inline distT="0" distB="0" distL="0" distR="0" wp14:anchorId="1F06376D" wp14:editId="40468827">
            <wp:extent cx="5607050" cy="3194050"/>
            <wp:effectExtent l="0" t="0" r="12700" b="6350"/>
            <wp:docPr id="7" name="Chart 7">
              <a:extLst xmlns:a="http://schemas.openxmlformats.org/drawingml/2006/main">
                <a:ext uri="{FF2B5EF4-FFF2-40B4-BE49-F238E27FC236}">
                  <a16:creationId xmlns:a16="http://schemas.microsoft.com/office/drawing/2014/main" id="{145772BD-0D7B-4CF7-9832-DBFE724DBF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2341D44" w14:textId="77777777" w:rsidR="004A586F" w:rsidRDefault="004A586F" w:rsidP="004A586F">
      <w:pPr>
        <w:pStyle w:val="ListParagraph"/>
        <w:rPr>
          <w:b/>
          <w:sz w:val="24"/>
          <w:szCs w:val="24"/>
        </w:rPr>
      </w:pPr>
    </w:p>
    <w:p w14:paraId="65DC49C3" w14:textId="082157DB" w:rsidR="00725D04" w:rsidRPr="00725D04" w:rsidRDefault="00725D04" w:rsidP="00653AD1">
      <w:pPr>
        <w:pStyle w:val="ListParagraph"/>
        <w:numPr>
          <w:ilvl w:val="0"/>
          <w:numId w:val="21"/>
        </w:numPr>
        <w:rPr>
          <w:b/>
          <w:sz w:val="24"/>
          <w:szCs w:val="24"/>
        </w:rPr>
      </w:pPr>
      <w:r w:rsidRPr="00725D04">
        <w:rPr>
          <w:b/>
          <w:sz w:val="24"/>
          <w:szCs w:val="24"/>
        </w:rPr>
        <w:t>Data from published IMF Fiscal Transparency Evaluations for five steward countries.</w:t>
      </w:r>
    </w:p>
    <w:p w14:paraId="7A73CB5D" w14:textId="2A511DC9" w:rsidR="00725D04" w:rsidRDefault="00725D04" w:rsidP="00725D04">
      <w:pPr>
        <w:rPr>
          <w:sz w:val="24"/>
          <w:szCs w:val="24"/>
        </w:rPr>
      </w:pPr>
      <w:r>
        <w:rPr>
          <w:sz w:val="24"/>
          <w:szCs w:val="24"/>
        </w:rPr>
        <w:t>As of mid-</w:t>
      </w:r>
      <w:proofErr w:type="gramStart"/>
      <w:r>
        <w:rPr>
          <w:sz w:val="24"/>
          <w:szCs w:val="24"/>
        </w:rPr>
        <w:t>September 2018</w:t>
      </w:r>
      <w:proofErr w:type="gramEnd"/>
      <w:r>
        <w:rPr>
          <w:sz w:val="24"/>
          <w:szCs w:val="24"/>
        </w:rPr>
        <w:t xml:space="preserve"> there </w:t>
      </w:r>
      <w:r w:rsidR="007526C3">
        <w:rPr>
          <w:sz w:val="24"/>
          <w:szCs w:val="24"/>
        </w:rPr>
        <w:t>we</w:t>
      </w:r>
      <w:r>
        <w:rPr>
          <w:sz w:val="24"/>
          <w:szCs w:val="24"/>
        </w:rPr>
        <w:t>re five Fiscal Transparency Evaluations (FTEs)</w:t>
      </w:r>
      <w:r w:rsidR="008C74AE">
        <w:rPr>
          <w:sz w:val="24"/>
          <w:szCs w:val="24"/>
        </w:rPr>
        <w:t xml:space="preserve"> of GIFT Stewards</w:t>
      </w:r>
      <w:r>
        <w:rPr>
          <w:sz w:val="24"/>
          <w:szCs w:val="24"/>
        </w:rPr>
        <w:t xml:space="preserve"> published on the IMF’s web site against the Fund’s 2014 </w:t>
      </w:r>
      <w:r w:rsidR="002A55CD">
        <w:rPr>
          <w:sz w:val="24"/>
          <w:szCs w:val="24"/>
        </w:rPr>
        <w:t>Fiscal Transparency Code.</w:t>
      </w:r>
      <w:r>
        <w:rPr>
          <w:sz w:val="24"/>
          <w:szCs w:val="24"/>
        </w:rPr>
        <w:t xml:space="preserve"> They are for Brazil, Colombia, Guatemala, the Philippines, and Tunisia.</w:t>
      </w:r>
    </w:p>
    <w:p w14:paraId="688EB77C" w14:textId="778C2793" w:rsidR="002A55CD" w:rsidRDefault="002A55CD" w:rsidP="00725D04">
      <w:pPr>
        <w:rPr>
          <w:sz w:val="24"/>
          <w:szCs w:val="24"/>
        </w:rPr>
      </w:pPr>
      <w:r>
        <w:rPr>
          <w:sz w:val="24"/>
          <w:szCs w:val="24"/>
        </w:rPr>
        <w:t>The FTE rates a country’s practices against 36 indicators of fiscal transparency across three pillars: fiscal reporting; fiscal forecasting and budgeting; and fiscal risk analysis and management. Each indicator is rated on a four</w:t>
      </w:r>
      <w:r w:rsidR="00976EE7">
        <w:rPr>
          <w:sz w:val="24"/>
          <w:szCs w:val="24"/>
        </w:rPr>
        <w:t>-</w:t>
      </w:r>
      <w:r>
        <w:rPr>
          <w:sz w:val="24"/>
          <w:szCs w:val="24"/>
        </w:rPr>
        <w:t xml:space="preserve">level scale: not met, basic practice, good practice, and advanced practice. </w:t>
      </w:r>
    </w:p>
    <w:p w14:paraId="081FAA2E" w14:textId="2A3838A7" w:rsidR="00725D04" w:rsidRDefault="00653AD1" w:rsidP="00725D04">
      <w:pPr>
        <w:rPr>
          <w:sz w:val="24"/>
          <w:szCs w:val="24"/>
        </w:rPr>
      </w:pPr>
      <w:r>
        <w:rPr>
          <w:sz w:val="24"/>
          <w:szCs w:val="24"/>
        </w:rPr>
        <w:t>Figure 4</w:t>
      </w:r>
      <w:r w:rsidR="002A55CD">
        <w:rPr>
          <w:sz w:val="24"/>
          <w:szCs w:val="24"/>
        </w:rPr>
        <w:t xml:space="preserve"> summarises the cross-county results</w:t>
      </w:r>
      <w:r w:rsidR="00976EE7">
        <w:rPr>
          <w:sz w:val="24"/>
          <w:szCs w:val="24"/>
        </w:rPr>
        <w:t xml:space="preserve"> by showing the total ratings across all 36 indicators</w:t>
      </w:r>
      <w:r w:rsidR="002A55CD">
        <w:rPr>
          <w:sz w:val="24"/>
          <w:szCs w:val="24"/>
        </w:rPr>
        <w:t>.</w:t>
      </w:r>
    </w:p>
    <w:p w14:paraId="47E1A003" w14:textId="396D619D" w:rsidR="002A55CD" w:rsidRPr="00725D04" w:rsidRDefault="002A55CD" w:rsidP="00725D04">
      <w:pPr>
        <w:rPr>
          <w:sz w:val="24"/>
          <w:szCs w:val="24"/>
        </w:rPr>
      </w:pPr>
      <w:r>
        <w:rPr>
          <w:noProof/>
        </w:rPr>
        <w:drawing>
          <wp:inline distT="0" distB="0" distL="0" distR="0" wp14:anchorId="3446A06C" wp14:editId="0A12E403">
            <wp:extent cx="4292600" cy="2724150"/>
            <wp:effectExtent l="0" t="0" r="12700" b="0"/>
            <wp:docPr id="6" name="Chart 6">
              <a:extLst xmlns:a="http://schemas.openxmlformats.org/drawingml/2006/main">
                <a:ext uri="{FF2B5EF4-FFF2-40B4-BE49-F238E27FC236}">
                  <a16:creationId xmlns:a16="http://schemas.microsoft.com/office/drawing/2014/main" id="{CD3E4FAE-2E14-440D-B772-0D82FF9AC5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8D33162" w14:textId="20518A22" w:rsidR="00E32114" w:rsidRDefault="002A55CD" w:rsidP="002357E2">
      <w:r>
        <w:rPr>
          <w:sz w:val="24"/>
          <w:szCs w:val="24"/>
        </w:rPr>
        <w:t>To aid comparability across countries, i</w:t>
      </w:r>
      <w:r w:rsidR="00E32114" w:rsidRPr="002A55CD">
        <w:rPr>
          <w:sz w:val="24"/>
          <w:szCs w:val="24"/>
        </w:rPr>
        <w:t xml:space="preserve">f </w:t>
      </w:r>
      <w:r>
        <w:rPr>
          <w:sz w:val="24"/>
          <w:szCs w:val="24"/>
        </w:rPr>
        <w:t xml:space="preserve">we </w:t>
      </w:r>
      <w:r w:rsidR="00E32114" w:rsidRPr="002A55CD">
        <w:rPr>
          <w:sz w:val="24"/>
          <w:szCs w:val="24"/>
        </w:rPr>
        <w:t xml:space="preserve">arbitrarily assign scores of 3,2,1 for advanced, good, </w:t>
      </w:r>
      <w:r>
        <w:rPr>
          <w:sz w:val="24"/>
          <w:szCs w:val="24"/>
        </w:rPr>
        <w:t xml:space="preserve">and </w:t>
      </w:r>
      <w:r w:rsidR="00E32114" w:rsidRPr="002A55CD">
        <w:rPr>
          <w:sz w:val="24"/>
          <w:szCs w:val="24"/>
        </w:rPr>
        <w:t>basic</w:t>
      </w:r>
      <w:r>
        <w:rPr>
          <w:sz w:val="24"/>
          <w:szCs w:val="24"/>
        </w:rPr>
        <w:t xml:space="preserve"> practice – note that the IMF does not do this -</w:t>
      </w:r>
      <w:r w:rsidR="00E32114" w:rsidRPr="002A55CD">
        <w:rPr>
          <w:sz w:val="24"/>
          <w:szCs w:val="24"/>
        </w:rPr>
        <w:t xml:space="preserve"> then total country scores </w:t>
      </w:r>
      <w:r>
        <w:rPr>
          <w:sz w:val="24"/>
          <w:szCs w:val="24"/>
        </w:rPr>
        <w:t>would be</w:t>
      </w:r>
      <w:r w:rsidR="00E32114" w:rsidRPr="002A55CD">
        <w:rPr>
          <w:sz w:val="24"/>
          <w:szCs w:val="24"/>
        </w:rPr>
        <w:t>:</w:t>
      </w:r>
      <w:r w:rsidR="00E32114">
        <w:rPr>
          <w:b/>
          <w:sz w:val="24"/>
          <w:szCs w:val="24"/>
        </w:rPr>
        <w:fldChar w:fldCharType="begin"/>
      </w:r>
      <w:r w:rsidR="00E32114">
        <w:rPr>
          <w:b/>
          <w:sz w:val="24"/>
          <w:szCs w:val="24"/>
        </w:rPr>
        <w:instrText xml:space="preserve"> LINK Excel.Sheet.12 "https://d.docs.live.net/2e93ca3824125ff0/GIFT Stewards OBS performance September 2018.xlsx" "IMF FTEs!R22C1:R26C2" \a \f 5 \h  \* MERGEFORMAT </w:instrText>
      </w:r>
      <w:r w:rsidR="00E32114">
        <w:rPr>
          <w:b/>
          <w:sz w:val="24"/>
          <w:szCs w:val="24"/>
        </w:rPr>
        <w:fldChar w:fldCharType="separate"/>
      </w:r>
    </w:p>
    <w:tbl>
      <w:tblPr>
        <w:tblStyle w:val="TableGrid"/>
        <w:tblW w:w="2812" w:type="dxa"/>
        <w:tblLook w:val="04A0" w:firstRow="1" w:lastRow="0" w:firstColumn="1" w:lastColumn="0" w:noHBand="0" w:noVBand="1"/>
      </w:tblPr>
      <w:tblGrid>
        <w:gridCol w:w="1836"/>
        <w:gridCol w:w="976"/>
      </w:tblGrid>
      <w:tr w:rsidR="00E32114" w:rsidRPr="00E32114" w14:paraId="5FB36A41" w14:textId="77777777" w:rsidTr="00E32114">
        <w:trPr>
          <w:trHeight w:val="290"/>
        </w:trPr>
        <w:tc>
          <w:tcPr>
            <w:tcW w:w="1836" w:type="dxa"/>
            <w:noWrap/>
            <w:hideMark/>
          </w:tcPr>
          <w:p w14:paraId="03EFBA09" w14:textId="1DD1E88D" w:rsidR="00E32114" w:rsidRPr="00E32114" w:rsidRDefault="00E32114">
            <w:pPr>
              <w:rPr>
                <w:b/>
                <w:sz w:val="24"/>
                <w:szCs w:val="24"/>
              </w:rPr>
            </w:pPr>
            <w:bookmarkStart w:id="10" w:name="_Hlk527787472"/>
            <w:r w:rsidRPr="00E32114">
              <w:rPr>
                <w:b/>
                <w:sz w:val="24"/>
                <w:szCs w:val="24"/>
              </w:rPr>
              <w:t>Tunisia</w:t>
            </w:r>
          </w:p>
        </w:tc>
        <w:tc>
          <w:tcPr>
            <w:tcW w:w="976" w:type="dxa"/>
            <w:noWrap/>
            <w:hideMark/>
          </w:tcPr>
          <w:p w14:paraId="1EC0A62A" w14:textId="77777777" w:rsidR="00E32114" w:rsidRPr="00E32114" w:rsidRDefault="00E32114" w:rsidP="00E32114">
            <w:pPr>
              <w:rPr>
                <w:b/>
                <w:sz w:val="24"/>
                <w:szCs w:val="24"/>
              </w:rPr>
            </w:pPr>
            <w:r w:rsidRPr="00E32114">
              <w:rPr>
                <w:b/>
                <w:sz w:val="24"/>
                <w:szCs w:val="24"/>
              </w:rPr>
              <w:t>35</w:t>
            </w:r>
          </w:p>
        </w:tc>
      </w:tr>
      <w:tr w:rsidR="00E32114" w:rsidRPr="00E32114" w14:paraId="6B080B29" w14:textId="77777777" w:rsidTr="00E32114">
        <w:trPr>
          <w:trHeight w:val="290"/>
        </w:trPr>
        <w:tc>
          <w:tcPr>
            <w:tcW w:w="1836" w:type="dxa"/>
            <w:noWrap/>
            <w:hideMark/>
          </w:tcPr>
          <w:p w14:paraId="01002705" w14:textId="77777777" w:rsidR="00E32114" w:rsidRPr="00E32114" w:rsidRDefault="00E32114">
            <w:pPr>
              <w:rPr>
                <w:b/>
                <w:sz w:val="24"/>
                <w:szCs w:val="24"/>
              </w:rPr>
            </w:pPr>
            <w:r w:rsidRPr="00E32114">
              <w:rPr>
                <w:b/>
                <w:sz w:val="24"/>
                <w:szCs w:val="24"/>
              </w:rPr>
              <w:t>Guatemala</w:t>
            </w:r>
          </w:p>
        </w:tc>
        <w:tc>
          <w:tcPr>
            <w:tcW w:w="976" w:type="dxa"/>
            <w:noWrap/>
            <w:hideMark/>
          </w:tcPr>
          <w:p w14:paraId="7DE59167" w14:textId="77777777" w:rsidR="00E32114" w:rsidRPr="00E32114" w:rsidRDefault="00E32114" w:rsidP="00E32114">
            <w:pPr>
              <w:rPr>
                <w:b/>
                <w:sz w:val="24"/>
                <w:szCs w:val="24"/>
              </w:rPr>
            </w:pPr>
            <w:r w:rsidRPr="00E32114">
              <w:rPr>
                <w:b/>
                <w:sz w:val="24"/>
                <w:szCs w:val="24"/>
              </w:rPr>
              <w:t>37</w:t>
            </w:r>
          </w:p>
        </w:tc>
      </w:tr>
      <w:tr w:rsidR="00E32114" w:rsidRPr="00E32114" w14:paraId="24A8967F" w14:textId="77777777" w:rsidTr="00E32114">
        <w:trPr>
          <w:trHeight w:val="290"/>
        </w:trPr>
        <w:tc>
          <w:tcPr>
            <w:tcW w:w="1836" w:type="dxa"/>
            <w:noWrap/>
            <w:hideMark/>
          </w:tcPr>
          <w:p w14:paraId="2EA11B1B" w14:textId="77777777" w:rsidR="00E32114" w:rsidRPr="00E32114" w:rsidRDefault="00E32114">
            <w:pPr>
              <w:rPr>
                <w:b/>
                <w:sz w:val="24"/>
                <w:szCs w:val="24"/>
              </w:rPr>
            </w:pPr>
            <w:r w:rsidRPr="00E32114">
              <w:rPr>
                <w:b/>
                <w:sz w:val="24"/>
                <w:szCs w:val="24"/>
              </w:rPr>
              <w:t>Brazil</w:t>
            </w:r>
          </w:p>
        </w:tc>
        <w:tc>
          <w:tcPr>
            <w:tcW w:w="976" w:type="dxa"/>
            <w:noWrap/>
            <w:hideMark/>
          </w:tcPr>
          <w:p w14:paraId="7599B458" w14:textId="77777777" w:rsidR="00E32114" w:rsidRPr="00E32114" w:rsidRDefault="00E32114" w:rsidP="00E32114">
            <w:pPr>
              <w:rPr>
                <w:b/>
                <w:sz w:val="24"/>
                <w:szCs w:val="24"/>
              </w:rPr>
            </w:pPr>
            <w:r w:rsidRPr="00E32114">
              <w:rPr>
                <w:b/>
                <w:sz w:val="24"/>
                <w:szCs w:val="24"/>
              </w:rPr>
              <w:t>53</w:t>
            </w:r>
          </w:p>
        </w:tc>
      </w:tr>
      <w:tr w:rsidR="00E32114" w:rsidRPr="00E32114" w14:paraId="34490AAD" w14:textId="77777777" w:rsidTr="00E32114">
        <w:trPr>
          <w:trHeight w:val="290"/>
        </w:trPr>
        <w:tc>
          <w:tcPr>
            <w:tcW w:w="1836" w:type="dxa"/>
            <w:noWrap/>
            <w:hideMark/>
          </w:tcPr>
          <w:p w14:paraId="72A249CB" w14:textId="77777777" w:rsidR="00E32114" w:rsidRPr="00E32114" w:rsidRDefault="00E32114">
            <w:pPr>
              <w:rPr>
                <w:b/>
                <w:sz w:val="24"/>
                <w:szCs w:val="24"/>
              </w:rPr>
            </w:pPr>
            <w:r w:rsidRPr="00E32114">
              <w:rPr>
                <w:b/>
                <w:sz w:val="24"/>
                <w:szCs w:val="24"/>
              </w:rPr>
              <w:t>Colombia</w:t>
            </w:r>
          </w:p>
        </w:tc>
        <w:tc>
          <w:tcPr>
            <w:tcW w:w="976" w:type="dxa"/>
            <w:noWrap/>
            <w:hideMark/>
          </w:tcPr>
          <w:p w14:paraId="56F5F1C6" w14:textId="77777777" w:rsidR="00E32114" w:rsidRPr="00E32114" w:rsidRDefault="00E32114" w:rsidP="00E32114">
            <w:pPr>
              <w:rPr>
                <w:b/>
                <w:sz w:val="24"/>
                <w:szCs w:val="24"/>
              </w:rPr>
            </w:pPr>
            <w:r w:rsidRPr="00E32114">
              <w:rPr>
                <w:b/>
                <w:sz w:val="24"/>
                <w:szCs w:val="24"/>
              </w:rPr>
              <w:t>59</w:t>
            </w:r>
          </w:p>
        </w:tc>
      </w:tr>
      <w:tr w:rsidR="00E32114" w:rsidRPr="00E32114" w14:paraId="4271ABA0" w14:textId="77777777" w:rsidTr="00E32114">
        <w:trPr>
          <w:trHeight w:val="290"/>
        </w:trPr>
        <w:tc>
          <w:tcPr>
            <w:tcW w:w="1836" w:type="dxa"/>
            <w:noWrap/>
            <w:hideMark/>
          </w:tcPr>
          <w:p w14:paraId="712B6F34" w14:textId="77777777" w:rsidR="00E32114" w:rsidRPr="00E32114" w:rsidRDefault="00E32114">
            <w:pPr>
              <w:rPr>
                <w:b/>
                <w:sz w:val="24"/>
                <w:szCs w:val="24"/>
              </w:rPr>
            </w:pPr>
            <w:r w:rsidRPr="00E32114">
              <w:rPr>
                <w:b/>
                <w:sz w:val="24"/>
                <w:szCs w:val="24"/>
              </w:rPr>
              <w:t>Philippines</w:t>
            </w:r>
          </w:p>
        </w:tc>
        <w:tc>
          <w:tcPr>
            <w:tcW w:w="976" w:type="dxa"/>
            <w:noWrap/>
            <w:hideMark/>
          </w:tcPr>
          <w:p w14:paraId="2A560E5C" w14:textId="77777777" w:rsidR="00E32114" w:rsidRPr="00E32114" w:rsidRDefault="00E32114" w:rsidP="00E32114">
            <w:pPr>
              <w:rPr>
                <w:b/>
                <w:sz w:val="24"/>
                <w:szCs w:val="24"/>
              </w:rPr>
            </w:pPr>
            <w:r w:rsidRPr="00E32114">
              <w:rPr>
                <w:b/>
                <w:sz w:val="24"/>
                <w:szCs w:val="24"/>
              </w:rPr>
              <w:t>61</w:t>
            </w:r>
          </w:p>
        </w:tc>
      </w:tr>
      <w:bookmarkEnd w:id="10"/>
    </w:tbl>
    <w:p w14:paraId="54554DA6" w14:textId="04F08276" w:rsidR="008623D5" w:rsidRDefault="00E32114" w:rsidP="002357E2">
      <w:pPr>
        <w:rPr>
          <w:b/>
          <w:sz w:val="24"/>
          <w:szCs w:val="24"/>
        </w:rPr>
      </w:pPr>
      <w:r>
        <w:rPr>
          <w:b/>
          <w:sz w:val="24"/>
          <w:szCs w:val="24"/>
        </w:rPr>
        <w:fldChar w:fldCharType="end"/>
      </w:r>
    </w:p>
    <w:p w14:paraId="19C9A590" w14:textId="67E13DBB" w:rsidR="008C74AE" w:rsidRDefault="008C74AE" w:rsidP="002357E2">
      <w:pPr>
        <w:rPr>
          <w:b/>
          <w:sz w:val="24"/>
          <w:szCs w:val="24"/>
        </w:rPr>
      </w:pPr>
    </w:p>
    <w:p w14:paraId="470A2685" w14:textId="77777777" w:rsidR="008C74AE" w:rsidRDefault="008C74AE" w:rsidP="002357E2">
      <w:pPr>
        <w:rPr>
          <w:b/>
          <w:sz w:val="24"/>
          <w:szCs w:val="24"/>
        </w:rPr>
      </w:pPr>
    </w:p>
    <w:p w14:paraId="3F889BAE" w14:textId="1FCAF60B" w:rsidR="00725D04" w:rsidRPr="00725D04" w:rsidRDefault="00725D04" w:rsidP="00725D04">
      <w:pPr>
        <w:pStyle w:val="ListParagraph"/>
        <w:numPr>
          <w:ilvl w:val="0"/>
          <w:numId w:val="21"/>
        </w:numPr>
        <w:rPr>
          <w:b/>
          <w:sz w:val="24"/>
          <w:szCs w:val="24"/>
        </w:rPr>
      </w:pPr>
      <w:r w:rsidRPr="00725D04">
        <w:rPr>
          <w:b/>
          <w:sz w:val="24"/>
          <w:szCs w:val="24"/>
        </w:rPr>
        <w:lastRenderedPageBreak/>
        <w:t xml:space="preserve">Information from published PEFA reports for </w:t>
      </w:r>
      <w:r w:rsidR="00F863D4">
        <w:rPr>
          <w:b/>
          <w:sz w:val="24"/>
          <w:szCs w:val="24"/>
        </w:rPr>
        <w:t>13</w:t>
      </w:r>
      <w:r w:rsidRPr="00725D04">
        <w:rPr>
          <w:b/>
          <w:sz w:val="24"/>
          <w:szCs w:val="24"/>
        </w:rPr>
        <w:t xml:space="preserve"> Steward countries.</w:t>
      </w:r>
    </w:p>
    <w:p w14:paraId="591FB119" w14:textId="49E22DDE" w:rsidR="00725D04" w:rsidRDefault="00F863D4" w:rsidP="00725D04">
      <w:pPr>
        <w:rPr>
          <w:sz w:val="24"/>
          <w:szCs w:val="24"/>
        </w:rPr>
      </w:pPr>
      <w:r>
        <w:rPr>
          <w:sz w:val="24"/>
          <w:szCs w:val="24"/>
        </w:rPr>
        <w:t xml:space="preserve">Public Expenditure and Financial Accountability (PEFA) reports </w:t>
      </w:r>
      <w:r w:rsidR="006F61ED">
        <w:rPr>
          <w:sz w:val="24"/>
          <w:szCs w:val="24"/>
        </w:rPr>
        <w:t xml:space="preserve">are third party </w:t>
      </w:r>
      <w:r>
        <w:rPr>
          <w:sz w:val="24"/>
          <w:szCs w:val="24"/>
        </w:rPr>
        <w:t>assess</w:t>
      </w:r>
      <w:r w:rsidR="006F61ED">
        <w:rPr>
          <w:sz w:val="24"/>
          <w:szCs w:val="24"/>
        </w:rPr>
        <w:t>ments of</w:t>
      </w:r>
      <w:r>
        <w:rPr>
          <w:sz w:val="24"/>
          <w:szCs w:val="24"/>
        </w:rPr>
        <w:t xml:space="preserve"> the </w:t>
      </w:r>
      <w:r w:rsidR="006F61ED">
        <w:rPr>
          <w:sz w:val="24"/>
          <w:szCs w:val="24"/>
        </w:rPr>
        <w:t>effectiveness of a country’s public financial management system.</w:t>
      </w:r>
      <w:r w:rsidR="006F61ED">
        <w:rPr>
          <w:rStyle w:val="FootnoteReference"/>
          <w:sz w:val="24"/>
          <w:szCs w:val="24"/>
        </w:rPr>
        <w:footnoteReference w:id="2"/>
      </w:r>
      <w:r w:rsidR="006F61ED">
        <w:rPr>
          <w:sz w:val="24"/>
          <w:szCs w:val="24"/>
        </w:rPr>
        <w:t xml:space="preserve"> One indicator measures public access to key fiscal information.</w:t>
      </w:r>
      <w:r>
        <w:rPr>
          <w:sz w:val="24"/>
          <w:szCs w:val="24"/>
        </w:rPr>
        <w:t xml:space="preserve"> </w:t>
      </w:r>
      <w:r w:rsidRPr="00F863D4">
        <w:rPr>
          <w:sz w:val="24"/>
          <w:szCs w:val="24"/>
        </w:rPr>
        <w:t xml:space="preserve">In </w:t>
      </w:r>
      <w:r w:rsidR="006F61ED">
        <w:rPr>
          <w:sz w:val="24"/>
          <w:szCs w:val="24"/>
        </w:rPr>
        <w:t xml:space="preserve">the 2004 </w:t>
      </w:r>
      <w:r w:rsidRPr="00F863D4">
        <w:rPr>
          <w:sz w:val="24"/>
          <w:szCs w:val="24"/>
        </w:rPr>
        <w:t xml:space="preserve">PEFA </w:t>
      </w:r>
      <w:r w:rsidR="006F61ED">
        <w:rPr>
          <w:sz w:val="24"/>
          <w:szCs w:val="24"/>
        </w:rPr>
        <w:t xml:space="preserve">framework </w:t>
      </w:r>
      <w:r w:rsidRPr="00F863D4">
        <w:rPr>
          <w:sz w:val="24"/>
          <w:szCs w:val="24"/>
        </w:rPr>
        <w:t>the indicator was PI-10; in PEFA 2016 the indicator is PI-9.</w:t>
      </w:r>
      <w:r w:rsidR="006F61ED">
        <w:rPr>
          <w:sz w:val="24"/>
          <w:szCs w:val="24"/>
        </w:rPr>
        <w:t xml:space="preserve"> Table 3 displays the scores, </w:t>
      </w:r>
      <w:proofErr w:type="gramStart"/>
      <w:r w:rsidR="006F61ED">
        <w:rPr>
          <w:sz w:val="24"/>
          <w:szCs w:val="24"/>
        </w:rPr>
        <w:t>and also</w:t>
      </w:r>
      <w:proofErr w:type="gramEnd"/>
      <w:r w:rsidR="006F61ED">
        <w:rPr>
          <w:sz w:val="24"/>
          <w:szCs w:val="24"/>
        </w:rPr>
        <w:t xml:space="preserve"> whether there have been any PEFA assessments that have not been published.</w:t>
      </w:r>
    </w:p>
    <w:p w14:paraId="4EC5F89D" w14:textId="3A642FE5" w:rsidR="00F863D4" w:rsidRPr="00F863D4" w:rsidRDefault="006F61ED" w:rsidP="006F61ED">
      <w:pPr>
        <w:rPr>
          <w:b/>
          <w:sz w:val="24"/>
          <w:szCs w:val="24"/>
        </w:rPr>
      </w:pPr>
      <w:r>
        <w:rPr>
          <w:b/>
          <w:sz w:val="24"/>
          <w:szCs w:val="24"/>
        </w:rPr>
        <w:t xml:space="preserve">Table 3: </w:t>
      </w:r>
      <w:r w:rsidRPr="0098077D">
        <w:rPr>
          <w:b/>
          <w:sz w:val="24"/>
          <w:szCs w:val="24"/>
        </w:rPr>
        <w:t xml:space="preserve">Stewards’ performance on </w:t>
      </w:r>
      <w:r>
        <w:rPr>
          <w:b/>
          <w:sz w:val="24"/>
          <w:szCs w:val="24"/>
        </w:rPr>
        <w:t>PEFA indicator</w:t>
      </w:r>
      <w:r w:rsidR="00D866F3">
        <w:rPr>
          <w:b/>
          <w:sz w:val="24"/>
          <w:szCs w:val="24"/>
        </w:rPr>
        <w:t xml:space="preserve">: </w:t>
      </w:r>
      <w:r w:rsidR="00F863D4" w:rsidRPr="00F863D4">
        <w:rPr>
          <w:b/>
          <w:sz w:val="24"/>
          <w:szCs w:val="24"/>
        </w:rPr>
        <w:t>Public Access to Key Fiscal Informatio</w:t>
      </w:r>
      <w:r>
        <w:rPr>
          <w:b/>
          <w:sz w:val="24"/>
          <w:szCs w:val="24"/>
        </w:rPr>
        <w:t>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3602"/>
        <w:gridCol w:w="3003"/>
      </w:tblGrid>
      <w:tr w:rsidR="00F863D4" w:rsidRPr="00926464" w14:paraId="3EF4C416" w14:textId="77777777" w:rsidTr="00D866F3">
        <w:trPr>
          <w:trHeight w:val="312"/>
        </w:trPr>
        <w:tc>
          <w:tcPr>
            <w:tcW w:w="2405" w:type="dxa"/>
          </w:tcPr>
          <w:p w14:paraId="66EADE05" w14:textId="77777777" w:rsidR="00F863D4" w:rsidRPr="006F61ED" w:rsidRDefault="00F863D4" w:rsidP="00F863D4">
            <w:pPr>
              <w:jc w:val="center"/>
              <w:rPr>
                <w:b/>
              </w:rPr>
            </w:pPr>
            <w:r w:rsidRPr="006F61ED">
              <w:rPr>
                <w:b/>
              </w:rPr>
              <w:t>Country</w:t>
            </w:r>
            <w:r w:rsidRPr="006F61ED">
              <w:rPr>
                <w:rStyle w:val="FootnoteReference"/>
                <w:b/>
              </w:rPr>
              <w:footnoteReference w:id="3"/>
            </w:r>
          </w:p>
        </w:tc>
        <w:tc>
          <w:tcPr>
            <w:tcW w:w="3602" w:type="dxa"/>
          </w:tcPr>
          <w:p w14:paraId="5B545143" w14:textId="77777777" w:rsidR="00F863D4" w:rsidRPr="006F61ED" w:rsidRDefault="00F863D4" w:rsidP="00F863D4">
            <w:pPr>
              <w:jc w:val="center"/>
              <w:rPr>
                <w:b/>
              </w:rPr>
            </w:pPr>
            <w:r w:rsidRPr="006F61ED">
              <w:rPr>
                <w:b/>
              </w:rPr>
              <w:t>Year of publication</w:t>
            </w:r>
          </w:p>
        </w:tc>
        <w:tc>
          <w:tcPr>
            <w:tcW w:w="3003" w:type="dxa"/>
          </w:tcPr>
          <w:p w14:paraId="4CBE6350" w14:textId="77777777" w:rsidR="00F863D4" w:rsidRPr="006F61ED" w:rsidRDefault="00F863D4" w:rsidP="00F863D4">
            <w:pPr>
              <w:jc w:val="center"/>
              <w:rPr>
                <w:b/>
              </w:rPr>
            </w:pPr>
            <w:r w:rsidRPr="006F61ED">
              <w:rPr>
                <w:b/>
              </w:rPr>
              <w:t>Score</w:t>
            </w:r>
          </w:p>
        </w:tc>
      </w:tr>
      <w:tr w:rsidR="00F863D4" w14:paraId="4C7F1BEB" w14:textId="77777777" w:rsidTr="00D866F3">
        <w:trPr>
          <w:trHeight w:val="381"/>
        </w:trPr>
        <w:tc>
          <w:tcPr>
            <w:tcW w:w="2405" w:type="dxa"/>
          </w:tcPr>
          <w:p w14:paraId="4A0EFBDB" w14:textId="24C9C826" w:rsidR="00F863D4" w:rsidRPr="00D866F3" w:rsidRDefault="00F863D4" w:rsidP="00F863D4">
            <w:pPr>
              <w:rPr>
                <w:rFonts w:ascii="Calibri" w:hAnsi="Calibri" w:cs="Calibri"/>
              </w:rPr>
            </w:pPr>
            <w:r w:rsidRPr="00D866F3">
              <w:rPr>
                <w:rFonts w:ascii="Calibri" w:hAnsi="Calibri" w:cs="Calibri"/>
              </w:rPr>
              <w:t>Benin</w:t>
            </w:r>
          </w:p>
        </w:tc>
        <w:tc>
          <w:tcPr>
            <w:tcW w:w="3602" w:type="dxa"/>
          </w:tcPr>
          <w:p w14:paraId="3BE0E1F7" w14:textId="6C101FDC" w:rsidR="00F863D4" w:rsidRPr="006F61ED" w:rsidRDefault="00F863D4" w:rsidP="00F863D4">
            <w:pPr>
              <w:jc w:val="center"/>
              <w:rPr>
                <w:rFonts w:ascii="Calibri" w:hAnsi="Calibri" w:cs="Calibri"/>
              </w:rPr>
            </w:pPr>
            <w:r w:rsidRPr="006F61ED">
              <w:rPr>
                <w:rFonts w:ascii="Calibri" w:hAnsi="Calibri" w:cs="Calibri"/>
              </w:rPr>
              <w:t>2007</w:t>
            </w:r>
          </w:p>
        </w:tc>
        <w:tc>
          <w:tcPr>
            <w:tcW w:w="3003" w:type="dxa"/>
          </w:tcPr>
          <w:p w14:paraId="3D499FAA" w14:textId="41A334C1" w:rsidR="00F863D4" w:rsidRPr="006F61ED" w:rsidRDefault="00F863D4" w:rsidP="00F863D4">
            <w:pPr>
              <w:jc w:val="center"/>
              <w:rPr>
                <w:rFonts w:ascii="Calibri" w:hAnsi="Calibri" w:cs="Calibri"/>
                <w:color w:val="984806" w:themeColor="accent6" w:themeShade="80"/>
              </w:rPr>
            </w:pPr>
            <w:r w:rsidRPr="006F61ED">
              <w:rPr>
                <w:rFonts w:ascii="Calibri" w:hAnsi="Calibri" w:cs="Calibri"/>
                <w:color w:val="FF0000"/>
              </w:rPr>
              <w:t>C</w:t>
            </w:r>
          </w:p>
        </w:tc>
      </w:tr>
      <w:tr w:rsidR="00F863D4" w14:paraId="1BC02940" w14:textId="77777777" w:rsidTr="00D866F3">
        <w:trPr>
          <w:trHeight w:val="381"/>
        </w:trPr>
        <w:tc>
          <w:tcPr>
            <w:tcW w:w="2405" w:type="dxa"/>
          </w:tcPr>
          <w:p w14:paraId="026E29AE" w14:textId="77777777" w:rsidR="00F863D4" w:rsidRPr="00D866F3" w:rsidRDefault="00F863D4" w:rsidP="00F863D4">
            <w:pPr>
              <w:rPr>
                <w:rFonts w:ascii="Calibri" w:hAnsi="Calibri" w:cs="Calibri"/>
              </w:rPr>
            </w:pPr>
          </w:p>
        </w:tc>
        <w:tc>
          <w:tcPr>
            <w:tcW w:w="3602" w:type="dxa"/>
          </w:tcPr>
          <w:p w14:paraId="5741A099" w14:textId="2D2BB771" w:rsidR="00F863D4" w:rsidRPr="006F61ED" w:rsidRDefault="00F863D4" w:rsidP="00F863D4">
            <w:pPr>
              <w:jc w:val="center"/>
              <w:rPr>
                <w:rFonts w:ascii="Calibri" w:hAnsi="Calibri" w:cs="Calibri"/>
              </w:rPr>
            </w:pPr>
            <w:r w:rsidRPr="006F61ED">
              <w:rPr>
                <w:rFonts w:ascii="Calibri" w:hAnsi="Calibri" w:cs="Calibri"/>
              </w:rPr>
              <w:t>2012</w:t>
            </w:r>
          </w:p>
        </w:tc>
        <w:tc>
          <w:tcPr>
            <w:tcW w:w="3003" w:type="dxa"/>
          </w:tcPr>
          <w:p w14:paraId="0BBAE3C1" w14:textId="0129300A" w:rsidR="00F863D4" w:rsidRPr="006F61ED" w:rsidRDefault="00F863D4" w:rsidP="00F863D4">
            <w:pPr>
              <w:jc w:val="center"/>
              <w:rPr>
                <w:rFonts w:ascii="Calibri" w:hAnsi="Calibri" w:cs="Calibri"/>
                <w:color w:val="984806" w:themeColor="accent6" w:themeShade="80"/>
              </w:rPr>
            </w:pPr>
            <w:r w:rsidRPr="006F61ED">
              <w:rPr>
                <w:rFonts w:ascii="Calibri" w:hAnsi="Calibri" w:cs="Calibri"/>
                <w:color w:val="FF0000"/>
              </w:rPr>
              <w:t>Final, not public</w:t>
            </w:r>
          </w:p>
        </w:tc>
      </w:tr>
      <w:tr w:rsidR="00F863D4" w14:paraId="165933C2" w14:textId="77777777" w:rsidTr="00D866F3">
        <w:trPr>
          <w:trHeight w:val="381"/>
        </w:trPr>
        <w:tc>
          <w:tcPr>
            <w:tcW w:w="2405" w:type="dxa"/>
          </w:tcPr>
          <w:p w14:paraId="1AD3A576" w14:textId="77777777" w:rsidR="00F863D4" w:rsidRPr="00D866F3" w:rsidRDefault="00F863D4" w:rsidP="00F863D4">
            <w:pPr>
              <w:rPr>
                <w:rFonts w:ascii="Calibri" w:hAnsi="Calibri" w:cs="Calibri"/>
              </w:rPr>
            </w:pPr>
          </w:p>
        </w:tc>
        <w:tc>
          <w:tcPr>
            <w:tcW w:w="3602" w:type="dxa"/>
          </w:tcPr>
          <w:p w14:paraId="447F61E1" w14:textId="242495C6" w:rsidR="00F863D4" w:rsidRPr="006F61ED" w:rsidRDefault="00F863D4" w:rsidP="00F863D4">
            <w:pPr>
              <w:jc w:val="center"/>
              <w:rPr>
                <w:rFonts w:ascii="Calibri" w:hAnsi="Calibri" w:cs="Calibri"/>
              </w:rPr>
            </w:pPr>
            <w:r w:rsidRPr="006F61ED">
              <w:rPr>
                <w:rFonts w:ascii="Calibri" w:hAnsi="Calibri" w:cs="Calibri"/>
              </w:rPr>
              <w:t>2014</w:t>
            </w:r>
          </w:p>
        </w:tc>
        <w:tc>
          <w:tcPr>
            <w:tcW w:w="3003" w:type="dxa"/>
          </w:tcPr>
          <w:p w14:paraId="65DACF8D" w14:textId="2A9291DE" w:rsidR="00F863D4" w:rsidRPr="006F61ED" w:rsidRDefault="00F863D4" w:rsidP="00F863D4">
            <w:pPr>
              <w:jc w:val="center"/>
              <w:rPr>
                <w:rFonts w:ascii="Calibri" w:hAnsi="Calibri" w:cs="Calibri"/>
                <w:color w:val="984806" w:themeColor="accent6" w:themeShade="80"/>
              </w:rPr>
            </w:pPr>
            <w:r w:rsidRPr="006F61ED">
              <w:rPr>
                <w:rFonts w:ascii="Calibri" w:hAnsi="Calibri" w:cs="Calibri"/>
                <w:color w:val="FF0000"/>
              </w:rPr>
              <w:t>D</w:t>
            </w:r>
          </w:p>
        </w:tc>
      </w:tr>
      <w:tr w:rsidR="00F863D4" w14:paraId="791A23F2" w14:textId="77777777" w:rsidTr="00D866F3">
        <w:trPr>
          <w:trHeight w:val="381"/>
        </w:trPr>
        <w:tc>
          <w:tcPr>
            <w:tcW w:w="2405" w:type="dxa"/>
          </w:tcPr>
          <w:p w14:paraId="4F135988" w14:textId="77777777" w:rsidR="00F863D4" w:rsidRPr="00D866F3" w:rsidRDefault="00F863D4" w:rsidP="00F863D4">
            <w:pPr>
              <w:rPr>
                <w:rFonts w:ascii="Calibri" w:hAnsi="Calibri" w:cs="Calibri"/>
              </w:rPr>
            </w:pPr>
            <w:r w:rsidRPr="00D866F3">
              <w:rPr>
                <w:rFonts w:ascii="Calibri" w:hAnsi="Calibri" w:cs="Calibri"/>
              </w:rPr>
              <w:t>Brazil</w:t>
            </w:r>
          </w:p>
        </w:tc>
        <w:tc>
          <w:tcPr>
            <w:tcW w:w="3602" w:type="dxa"/>
          </w:tcPr>
          <w:p w14:paraId="345E9292" w14:textId="77777777" w:rsidR="00F863D4" w:rsidRPr="006F61ED" w:rsidRDefault="00F863D4" w:rsidP="00F863D4">
            <w:pPr>
              <w:jc w:val="center"/>
              <w:rPr>
                <w:rFonts w:ascii="Calibri" w:hAnsi="Calibri" w:cs="Calibri"/>
              </w:rPr>
            </w:pPr>
            <w:r w:rsidRPr="006F61ED">
              <w:rPr>
                <w:rFonts w:ascii="Calibri" w:hAnsi="Calibri" w:cs="Calibri"/>
              </w:rPr>
              <w:t>2009</w:t>
            </w:r>
          </w:p>
        </w:tc>
        <w:tc>
          <w:tcPr>
            <w:tcW w:w="3003" w:type="dxa"/>
          </w:tcPr>
          <w:p w14:paraId="2B29AE8D" w14:textId="77777777" w:rsidR="00F863D4" w:rsidRPr="006F61ED" w:rsidRDefault="00F863D4" w:rsidP="00F863D4">
            <w:pPr>
              <w:jc w:val="center"/>
              <w:rPr>
                <w:rFonts w:ascii="Calibri" w:hAnsi="Calibri" w:cs="Calibri"/>
                <w:color w:val="984806" w:themeColor="accent6" w:themeShade="80"/>
              </w:rPr>
            </w:pPr>
            <w:r w:rsidRPr="006F61ED">
              <w:rPr>
                <w:rFonts w:ascii="Calibri" w:hAnsi="Calibri" w:cs="Calibri"/>
                <w:color w:val="984806" w:themeColor="accent6" w:themeShade="80"/>
              </w:rPr>
              <w:t>A</w:t>
            </w:r>
          </w:p>
        </w:tc>
      </w:tr>
      <w:tr w:rsidR="00F863D4" w14:paraId="223CBD38" w14:textId="77777777" w:rsidTr="00D866F3">
        <w:trPr>
          <w:trHeight w:val="310"/>
        </w:trPr>
        <w:tc>
          <w:tcPr>
            <w:tcW w:w="2405" w:type="dxa"/>
          </w:tcPr>
          <w:p w14:paraId="68DEDCEF" w14:textId="4D508C93" w:rsidR="00F863D4" w:rsidRPr="00D866F3" w:rsidRDefault="00F863D4" w:rsidP="00F863D4">
            <w:pPr>
              <w:rPr>
                <w:rFonts w:ascii="Calibri" w:hAnsi="Calibri" w:cs="Calibri"/>
              </w:rPr>
            </w:pPr>
            <w:r w:rsidRPr="00D866F3">
              <w:rPr>
                <w:rFonts w:ascii="Calibri" w:hAnsi="Calibri" w:cs="Calibri"/>
              </w:rPr>
              <w:t>Colombia</w:t>
            </w:r>
          </w:p>
        </w:tc>
        <w:tc>
          <w:tcPr>
            <w:tcW w:w="3602" w:type="dxa"/>
          </w:tcPr>
          <w:p w14:paraId="48CEA3C7" w14:textId="262DC5A3" w:rsidR="00F863D4" w:rsidRPr="006F61ED" w:rsidRDefault="00F863D4" w:rsidP="00F863D4">
            <w:pPr>
              <w:jc w:val="center"/>
              <w:rPr>
                <w:rFonts w:ascii="Calibri" w:hAnsi="Calibri" w:cs="Calibri"/>
              </w:rPr>
            </w:pPr>
            <w:r w:rsidRPr="006F61ED">
              <w:rPr>
                <w:rFonts w:ascii="Calibri" w:hAnsi="Calibri" w:cs="Calibri"/>
              </w:rPr>
              <w:t>2009</w:t>
            </w:r>
          </w:p>
        </w:tc>
        <w:tc>
          <w:tcPr>
            <w:tcW w:w="3003" w:type="dxa"/>
          </w:tcPr>
          <w:p w14:paraId="3A6DD2CC" w14:textId="4503B6B6" w:rsidR="00F863D4" w:rsidRPr="006F61ED" w:rsidRDefault="00F863D4" w:rsidP="00F863D4">
            <w:pPr>
              <w:jc w:val="center"/>
              <w:rPr>
                <w:rFonts w:ascii="Calibri" w:hAnsi="Calibri" w:cs="Calibri"/>
                <w:color w:val="984806" w:themeColor="accent6" w:themeShade="80"/>
              </w:rPr>
            </w:pPr>
            <w:r w:rsidRPr="006F61ED">
              <w:rPr>
                <w:rFonts w:ascii="Calibri" w:hAnsi="Calibri" w:cs="Calibri"/>
                <w:color w:val="984806" w:themeColor="accent6" w:themeShade="80"/>
              </w:rPr>
              <w:t>B</w:t>
            </w:r>
          </w:p>
        </w:tc>
      </w:tr>
      <w:tr w:rsidR="00F863D4" w14:paraId="72C066EF" w14:textId="77777777" w:rsidTr="00D866F3">
        <w:trPr>
          <w:trHeight w:val="310"/>
        </w:trPr>
        <w:tc>
          <w:tcPr>
            <w:tcW w:w="2405" w:type="dxa"/>
          </w:tcPr>
          <w:p w14:paraId="173DA7C6" w14:textId="77777777" w:rsidR="00F863D4" w:rsidRPr="00D866F3" w:rsidRDefault="00F863D4" w:rsidP="00F863D4">
            <w:pPr>
              <w:rPr>
                <w:rFonts w:ascii="Calibri" w:hAnsi="Calibri" w:cs="Calibri"/>
              </w:rPr>
            </w:pPr>
          </w:p>
        </w:tc>
        <w:tc>
          <w:tcPr>
            <w:tcW w:w="3602" w:type="dxa"/>
          </w:tcPr>
          <w:p w14:paraId="335A08C2" w14:textId="3A853C4F" w:rsidR="00F863D4" w:rsidRPr="006F61ED" w:rsidRDefault="00F863D4" w:rsidP="00F863D4">
            <w:pPr>
              <w:jc w:val="center"/>
              <w:rPr>
                <w:rFonts w:ascii="Calibri" w:hAnsi="Calibri" w:cs="Calibri"/>
              </w:rPr>
            </w:pPr>
            <w:r w:rsidRPr="006F61ED">
              <w:rPr>
                <w:rFonts w:ascii="Calibri" w:hAnsi="Calibri" w:cs="Calibri"/>
              </w:rPr>
              <w:t>2016</w:t>
            </w:r>
          </w:p>
        </w:tc>
        <w:tc>
          <w:tcPr>
            <w:tcW w:w="3003" w:type="dxa"/>
          </w:tcPr>
          <w:p w14:paraId="200ECC4D" w14:textId="24677486" w:rsidR="00F863D4" w:rsidRPr="006F61ED" w:rsidRDefault="00F863D4" w:rsidP="00F863D4">
            <w:pPr>
              <w:jc w:val="center"/>
              <w:rPr>
                <w:rFonts w:ascii="Calibri" w:hAnsi="Calibri" w:cs="Calibri"/>
                <w:color w:val="984806" w:themeColor="accent6" w:themeShade="80"/>
              </w:rPr>
            </w:pPr>
            <w:r w:rsidRPr="006F61ED">
              <w:rPr>
                <w:rFonts w:ascii="Calibri" w:hAnsi="Calibri" w:cs="Calibri"/>
                <w:color w:val="984806" w:themeColor="accent6" w:themeShade="80"/>
              </w:rPr>
              <w:t>A</w:t>
            </w:r>
          </w:p>
        </w:tc>
      </w:tr>
      <w:tr w:rsidR="00F863D4" w14:paraId="18C9DCF3" w14:textId="77777777" w:rsidTr="00D866F3">
        <w:trPr>
          <w:trHeight w:val="310"/>
        </w:trPr>
        <w:tc>
          <w:tcPr>
            <w:tcW w:w="2405" w:type="dxa"/>
          </w:tcPr>
          <w:p w14:paraId="7AE1FB1D" w14:textId="77777777" w:rsidR="00F863D4" w:rsidRPr="00D866F3" w:rsidRDefault="00F863D4" w:rsidP="00F863D4">
            <w:pPr>
              <w:rPr>
                <w:rFonts w:ascii="Calibri" w:hAnsi="Calibri" w:cs="Calibri"/>
              </w:rPr>
            </w:pPr>
            <w:r w:rsidRPr="00D866F3">
              <w:rPr>
                <w:rFonts w:ascii="Calibri" w:hAnsi="Calibri" w:cs="Calibri"/>
              </w:rPr>
              <w:t>Dominican Republic</w:t>
            </w:r>
          </w:p>
        </w:tc>
        <w:tc>
          <w:tcPr>
            <w:tcW w:w="3602" w:type="dxa"/>
          </w:tcPr>
          <w:p w14:paraId="4A6B7FA5" w14:textId="77777777" w:rsidR="00F863D4" w:rsidRPr="006F61ED" w:rsidRDefault="00F863D4" w:rsidP="00F863D4">
            <w:pPr>
              <w:jc w:val="center"/>
              <w:rPr>
                <w:rFonts w:ascii="Calibri" w:hAnsi="Calibri" w:cs="Calibri"/>
              </w:rPr>
            </w:pPr>
            <w:r w:rsidRPr="006F61ED">
              <w:rPr>
                <w:rFonts w:ascii="Calibri" w:hAnsi="Calibri" w:cs="Calibri"/>
              </w:rPr>
              <w:t>2007</w:t>
            </w:r>
          </w:p>
        </w:tc>
        <w:tc>
          <w:tcPr>
            <w:tcW w:w="3003" w:type="dxa"/>
          </w:tcPr>
          <w:p w14:paraId="190CBD60" w14:textId="77777777" w:rsidR="00F863D4" w:rsidRPr="006F61ED" w:rsidRDefault="00F863D4" w:rsidP="00F863D4">
            <w:pPr>
              <w:jc w:val="center"/>
              <w:rPr>
                <w:rFonts w:ascii="Calibri" w:hAnsi="Calibri" w:cs="Calibri"/>
                <w:color w:val="984806" w:themeColor="accent6" w:themeShade="80"/>
              </w:rPr>
            </w:pPr>
            <w:r w:rsidRPr="006F61ED">
              <w:rPr>
                <w:rFonts w:ascii="Calibri" w:hAnsi="Calibri" w:cs="Calibri"/>
                <w:color w:val="984806" w:themeColor="accent6" w:themeShade="80"/>
              </w:rPr>
              <w:t>B</w:t>
            </w:r>
          </w:p>
        </w:tc>
      </w:tr>
      <w:tr w:rsidR="00F863D4" w14:paraId="4B730C01" w14:textId="77777777" w:rsidTr="00D866F3">
        <w:trPr>
          <w:trHeight w:val="310"/>
        </w:trPr>
        <w:tc>
          <w:tcPr>
            <w:tcW w:w="2405" w:type="dxa"/>
          </w:tcPr>
          <w:p w14:paraId="132E1E49" w14:textId="77777777" w:rsidR="00F863D4" w:rsidRPr="00D866F3" w:rsidRDefault="00F863D4" w:rsidP="00F863D4">
            <w:pPr>
              <w:rPr>
                <w:rFonts w:ascii="Calibri" w:hAnsi="Calibri" w:cs="Calibri"/>
              </w:rPr>
            </w:pPr>
          </w:p>
        </w:tc>
        <w:tc>
          <w:tcPr>
            <w:tcW w:w="3602" w:type="dxa"/>
          </w:tcPr>
          <w:p w14:paraId="6B4C9F59" w14:textId="77777777" w:rsidR="00F863D4" w:rsidRPr="006F61ED" w:rsidRDefault="00F863D4" w:rsidP="00F863D4">
            <w:pPr>
              <w:jc w:val="center"/>
              <w:rPr>
                <w:rFonts w:ascii="Calibri" w:hAnsi="Calibri" w:cs="Calibri"/>
              </w:rPr>
            </w:pPr>
            <w:r w:rsidRPr="006F61ED">
              <w:rPr>
                <w:rFonts w:ascii="Calibri" w:hAnsi="Calibri" w:cs="Calibri"/>
              </w:rPr>
              <w:t>2010</w:t>
            </w:r>
          </w:p>
        </w:tc>
        <w:tc>
          <w:tcPr>
            <w:tcW w:w="3003" w:type="dxa"/>
          </w:tcPr>
          <w:p w14:paraId="758A0873" w14:textId="77777777" w:rsidR="00F863D4" w:rsidRPr="006F61ED" w:rsidRDefault="00F863D4" w:rsidP="00F863D4">
            <w:pPr>
              <w:jc w:val="center"/>
              <w:rPr>
                <w:rFonts w:ascii="Calibri" w:hAnsi="Calibri" w:cs="Calibri"/>
                <w:color w:val="984806" w:themeColor="accent6" w:themeShade="80"/>
              </w:rPr>
            </w:pPr>
            <w:r w:rsidRPr="006F61ED">
              <w:rPr>
                <w:rFonts w:ascii="Calibri" w:hAnsi="Calibri" w:cs="Calibri"/>
                <w:color w:val="984806" w:themeColor="accent6" w:themeShade="80"/>
              </w:rPr>
              <w:t>B</w:t>
            </w:r>
          </w:p>
        </w:tc>
      </w:tr>
      <w:tr w:rsidR="00F863D4" w14:paraId="4BEDC5D1" w14:textId="77777777" w:rsidTr="00D866F3">
        <w:tc>
          <w:tcPr>
            <w:tcW w:w="2405" w:type="dxa"/>
          </w:tcPr>
          <w:p w14:paraId="17A04F51" w14:textId="77777777" w:rsidR="00F863D4" w:rsidRPr="00D866F3" w:rsidRDefault="00F863D4" w:rsidP="00F863D4">
            <w:pPr>
              <w:rPr>
                <w:rFonts w:ascii="Calibri" w:hAnsi="Calibri" w:cs="Calibri"/>
              </w:rPr>
            </w:pPr>
          </w:p>
        </w:tc>
        <w:tc>
          <w:tcPr>
            <w:tcW w:w="3602" w:type="dxa"/>
          </w:tcPr>
          <w:p w14:paraId="7C0F9ECE" w14:textId="77777777" w:rsidR="00F863D4" w:rsidRPr="006F61ED" w:rsidRDefault="00F863D4" w:rsidP="00F863D4">
            <w:pPr>
              <w:jc w:val="center"/>
              <w:rPr>
                <w:rFonts w:ascii="Calibri" w:hAnsi="Calibri" w:cs="Calibri"/>
              </w:rPr>
            </w:pPr>
            <w:r w:rsidRPr="006F61ED">
              <w:rPr>
                <w:rFonts w:ascii="Calibri" w:hAnsi="Calibri" w:cs="Calibri"/>
              </w:rPr>
              <w:t>2012</w:t>
            </w:r>
          </w:p>
        </w:tc>
        <w:tc>
          <w:tcPr>
            <w:tcW w:w="3003" w:type="dxa"/>
          </w:tcPr>
          <w:p w14:paraId="7E4C3081" w14:textId="77777777" w:rsidR="00F863D4" w:rsidRPr="006F61ED" w:rsidRDefault="00F863D4" w:rsidP="00F863D4">
            <w:pPr>
              <w:jc w:val="center"/>
              <w:rPr>
                <w:rFonts w:ascii="Calibri" w:hAnsi="Calibri" w:cs="Calibri"/>
                <w:color w:val="984806" w:themeColor="accent6" w:themeShade="80"/>
              </w:rPr>
            </w:pPr>
            <w:r w:rsidRPr="006F61ED">
              <w:rPr>
                <w:rFonts w:ascii="Calibri" w:hAnsi="Calibri" w:cs="Calibri"/>
                <w:color w:val="984806" w:themeColor="accent6" w:themeShade="80"/>
              </w:rPr>
              <w:t>B</w:t>
            </w:r>
          </w:p>
        </w:tc>
      </w:tr>
      <w:tr w:rsidR="00F863D4" w14:paraId="4FF0C278" w14:textId="77777777" w:rsidTr="00D866F3">
        <w:trPr>
          <w:trHeight w:val="339"/>
        </w:trPr>
        <w:tc>
          <w:tcPr>
            <w:tcW w:w="2405" w:type="dxa"/>
          </w:tcPr>
          <w:p w14:paraId="7BCAADA0" w14:textId="77777777" w:rsidR="00F863D4" w:rsidRPr="00D866F3" w:rsidRDefault="00F863D4" w:rsidP="00F863D4">
            <w:pPr>
              <w:rPr>
                <w:rFonts w:ascii="Calibri" w:hAnsi="Calibri" w:cs="Calibri"/>
              </w:rPr>
            </w:pPr>
          </w:p>
        </w:tc>
        <w:tc>
          <w:tcPr>
            <w:tcW w:w="3602" w:type="dxa"/>
          </w:tcPr>
          <w:p w14:paraId="2973D700" w14:textId="77777777" w:rsidR="00F863D4" w:rsidRPr="006F61ED" w:rsidRDefault="00F863D4" w:rsidP="00F863D4">
            <w:pPr>
              <w:jc w:val="center"/>
              <w:rPr>
                <w:rFonts w:ascii="Calibri" w:hAnsi="Calibri" w:cs="Calibri"/>
              </w:rPr>
            </w:pPr>
            <w:r w:rsidRPr="006F61ED">
              <w:rPr>
                <w:rFonts w:ascii="Calibri" w:hAnsi="Calibri" w:cs="Calibri"/>
              </w:rPr>
              <w:t>2016</w:t>
            </w:r>
          </w:p>
        </w:tc>
        <w:tc>
          <w:tcPr>
            <w:tcW w:w="3003" w:type="dxa"/>
          </w:tcPr>
          <w:p w14:paraId="5C0BE8D9" w14:textId="77777777" w:rsidR="00F863D4" w:rsidRPr="006F61ED" w:rsidRDefault="00F863D4" w:rsidP="00F863D4">
            <w:pPr>
              <w:jc w:val="center"/>
              <w:rPr>
                <w:rFonts w:ascii="Calibri" w:hAnsi="Calibri" w:cs="Calibri"/>
                <w:color w:val="984806" w:themeColor="accent6" w:themeShade="80"/>
              </w:rPr>
            </w:pPr>
            <w:r w:rsidRPr="006F61ED">
              <w:rPr>
                <w:rFonts w:ascii="Calibri" w:hAnsi="Calibri" w:cs="Calibri"/>
                <w:color w:val="984806" w:themeColor="accent6" w:themeShade="80"/>
              </w:rPr>
              <w:t>A</w:t>
            </w:r>
          </w:p>
        </w:tc>
      </w:tr>
      <w:tr w:rsidR="006704FF" w14:paraId="265B4679" w14:textId="77777777" w:rsidTr="00D866F3">
        <w:trPr>
          <w:trHeight w:val="339"/>
        </w:trPr>
        <w:tc>
          <w:tcPr>
            <w:tcW w:w="2405" w:type="dxa"/>
          </w:tcPr>
          <w:p w14:paraId="3FD25876" w14:textId="3D6115CC" w:rsidR="006704FF" w:rsidRPr="00D866F3" w:rsidRDefault="006704FF" w:rsidP="006704FF">
            <w:pPr>
              <w:rPr>
                <w:rFonts w:ascii="Calibri" w:hAnsi="Calibri" w:cs="Calibri"/>
              </w:rPr>
            </w:pPr>
            <w:r w:rsidRPr="00D46F7E">
              <w:rPr>
                <w:b/>
              </w:rPr>
              <w:t>Egypt</w:t>
            </w:r>
          </w:p>
        </w:tc>
        <w:tc>
          <w:tcPr>
            <w:tcW w:w="3602" w:type="dxa"/>
          </w:tcPr>
          <w:p w14:paraId="03987DA3" w14:textId="508DFBDD" w:rsidR="006704FF" w:rsidRPr="006F61ED" w:rsidRDefault="006704FF" w:rsidP="006704FF">
            <w:pPr>
              <w:jc w:val="center"/>
              <w:rPr>
                <w:rFonts w:ascii="Calibri" w:hAnsi="Calibri" w:cs="Calibri"/>
              </w:rPr>
            </w:pPr>
            <w:r>
              <w:t>2009</w:t>
            </w:r>
          </w:p>
        </w:tc>
        <w:tc>
          <w:tcPr>
            <w:tcW w:w="3003" w:type="dxa"/>
          </w:tcPr>
          <w:p w14:paraId="0C1896BB" w14:textId="7204356F" w:rsidR="006704FF" w:rsidRPr="006F61ED" w:rsidRDefault="006704FF" w:rsidP="006704FF">
            <w:pPr>
              <w:jc w:val="center"/>
              <w:rPr>
                <w:rFonts w:ascii="Calibri" w:hAnsi="Calibri" w:cs="Calibri"/>
                <w:color w:val="984806" w:themeColor="accent6" w:themeShade="80"/>
              </w:rPr>
            </w:pPr>
            <w:r w:rsidRPr="00D46F7E">
              <w:rPr>
                <w:color w:val="FF0000"/>
              </w:rPr>
              <w:t>Final, not public</w:t>
            </w:r>
          </w:p>
        </w:tc>
      </w:tr>
      <w:tr w:rsidR="006704FF" w14:paraId="1D73B305" w14:textId="77777777" w:rsidTr="00D866F3">
        <w:trPr>
          <w:trHeight w:val="339"/>
        </w:trPr>
        <w:tc>
          <w:tcPr>
            <w:tcW w:w="2405" w:type="dxa"/>
          </w:tcPr>
          <w:p w14:paraId="6261562D" w14:textId="77777777" w:rsidR="006704FF" w:rsidRPr="00D866F3" w:rsidRDefault="006704FF" w:rsidP="006704FF">
            <w:pPr>
              <w:rPr>
                <w:rFonts w:ascii="Calibri" w:hAnsi="Calibri" w:cs="Calibri"/>
              </w:rPr>
            </w:pPr>
            <w:r w:rsidRPr="00D866F3">
              <w:rPr>
                <w:rFonts w:ascii="Calibri" w:hAnsi="Calibri" w:cs="Calibri"/>
              </w:rPr>
              <w:t>El Salvador</w:t>
            </w:r>
          </w:p>
        </w:tc>
        <w:tc>
          <w:tcPr>
            <w:tcW w:w="3602" w:type="dxa"/>
          </w:tcPr>
          <w:p w14:paraId="4B33DB5B" w14:textId="77777777" w:rsidR="006704FF" w:rsidRPr="006F61ED" w:rsidRDefault="006704FF" w:rsidP="006704FF">
            <w:pPr>
              <w:jc w:val="center"/>
              <w:rPr>
                <w:rFonts w:ascii="Calibri" w:hAnsi="Calibri" w:cs="Calibri"/>
              </w:rPr>
            </w:pPr>
            <w:r w:rsidRPr="006F61ED">
              <w:rPr>
                <w:rFonts w:ascii="Calibri" w:hAnsi="Calibri" w:cs="Calibri"/>
              </w:rPr>
              <w:t>2009</w:t>
            </w:r>
          </w:p>
        </w:tc>
        <w:tc>
          <w:tcPr>
            <w:tcW w:w="3003" w:type="dxa"/>
          </w:tcPr>
          <w:p w14:paraId="1F731830" w14:textId="77777777" w:rsidR="006704FF" w:rsidRPr="006F61ED" w:rsidRDefault="006704FF" w:rsidP="006704FF">
            <w:pPr>
              <w:jc w:val="center"/>
              <w:rPr>
                <w:rFonts w:ascii="Calibri" w:hAnsi="Calibri" w:cs="Calibri"/>
                <w:color w:val="984806" w:themeColor="accent6" w:themeShade="80"/>
              </w:rPr>
            </w:pPr>
            <w:r w:rsidRPr="006F61ED">
              <w:rPr>
                <w:rFonts w:ascii="Calibri" w:hAnsi="Calibri" w:cs="Calibri"/>
                <w:color w:val="984806" w:themeColor="accent6" w:themeShade="80"/>
              </w:rPr>
              <w:t>B</w:t>
            </w:r>
          </w:p>
        </w:tc>
      </w:tr>
      <w:tr w:rsidR="006704FF" w14:paraId="5571BD97" w14:textId="77777777" w:rsidTr="00D866F3">
        <w:trPr>
          <w:trHeight w:val="339"/>
        </w:trPr>
        <w:tc>
          <w:tcPr>
            <w:tcW w:w="2405" w:type="dxa"/>
          </w:tcPr>
          <w:p w14:paraId="7AA78886" w14:textId="77777777" w:rsidR="006704FF" w:rsidRPr="00D866F3" w:rsidRDefault="006704FF" w:rsidP="006704FF">
            <w:pPr>
              <w:rPr>
                <w:rFonts w:ascii="Calibri" w:hAnsi="Calibri" w:cs="Calibri"/>
              </w:rPr>
            </w:pPr>
          </w:p>
        </w:tc>
        <w:tc>
          <w:tcPr>
            <w:tcW w:w="3602" w:type="dxa"/>
          </w:tcPr>
          <w:p w14:paraId="082D885A" w14:textId="77777777" w:rsidR="006704FF" w:rsidRPr="006F61ED" w:rsidRDefault="006704FF" w:rsidP="006704FF">
            <w:pPr>
              <w:jc w:val="center"/>
              <w:rPr>
                <w:rFonts w:ascii="Calibri" w:hAnsi="Calibri" w:cs="Calibri"/>
              </w:rPr>
            </w:pPr>
            <w:r w:rsidRPr="006F61ED">
              <w:rPr>
                <w:rFonts w:ascii="Calibri" w:hAnsi="Calibri" w:cs="Calibri"/>
              </w:rPr>
              <w:t>2013</w:t>
            </w:r>
          </w:p>
        </w:tc>
        <w:tc>
          <w:tcPr>
            <w:tcW w:w="3003" w:type="dxa"/>
          </w:tcPr>
          <w:p w14:paraId="55D487FC" w14:textId="77777777" w:rsidR="006704FF" w:rsidRPr="006F61ED" w:rsidRDefault="006704FF" w:rsidP="006704FF">
            <w:pPr>
              <w:jc w:val="center"/>
              <w:rPr>
                <w:rFonts w:ascii="Calibri" w:hAnsi="Calibri" w:cs="Calibri"/>
                <w:color w:val="984806" w:themeColor="accent6" w:themeShade="80"/>
              </w:rPr>
            </w:pPr>
            <w:r w:rsidRPr="006F61ED">
              <w:rPr>
                <w:rFonts w:ascii="Calibri" w:hAnsi="Calibri" w:cs="Calibri"/>
                <w:color w:val="984806" w:themeColor="accent6" w:themeShade="80"/>
              </w:rPr>
              <w:t>B</w:t>
            </w:r>
          </w:p>
        </w:tc>
      </w:tr>
      <w:tr w:rsidR="006704FF" w14:paraId="768CB1F2" w14:textId="77777777" w:rsidTr="00D866F3">
        <w:tc>
          <w:tcPr>
            <w:tcW w:w="2405" w:type="dxa"/>
          </w:tcPr>
          <w:p w14:paraId="07832B0B" w14:textId="77777777" w:rsidR="006704FF" w:rsidRPr="00D866F3" w:rsidRDefault="006704FF" w:rsidP="006704FF">
            <w:pPr>
              <w:rPr>
                <w:rFonts w:ascii="Calibri" w:hAnsi="Calibri" w:cs="Calibri"/>
              </w:rPr>
            </w:pPr>
          </w:p>
        </w:tc>
        <w:tc>
          <w:tcPr>
            <w:tcW w:w="3602" w:type="dxa"/>
          </w:tcPr>
          <w:p w14:paraId="4E16E8A9" w14:textId="77777777" w:rsidR="006704FF" w:rsidRPr="006F61ED" w:rsidRDefault="006704FF" w:rsidP="006704FF">
            <w:pPr>
              <w:jc w:val="center"/>
              <w:rPr>
                <w:rFonts w:ascii="Calibri" w:hAnsi="Calibri" w:cs="Calibri"/>
              </w:rPr>
            </w:pPr>
            <w:r w:rsidRPr="006F61ED">
              <w:rPr>
                <w:rFonts w:ascii="Calibri" w:hAnsi="Calibri" w:cs="Calibri"/>
              </w:rPr>
              <w:t>2016</w:t>
            </w:r>
          </w:p>
        </w:tc>
        <w:tc>
          <w:tcPr>
            <w:tcW w:w="3003" w:type="dxa"/>
          </w:tcPr>
          <w:p w14:paraId="5FE886EA" w14:textId="77777777" w:rsidR="006704FF" w:rsidRPr="006F61ED" w:rsidRDefault="006704FF" w:rsidP="006704FF">
            <w:pPr>
              <w:jc w:val="center"/>
              <w:rPr>
                <w:rFonts w:ascii="Calibri" w:hAnsi="Calibri" w:cs="Calibri"/>
                <w:color w:val="984806" w:themeColor="accent6" w:themeShade="80"/>
              </w:rPr>
            </w:pPr>
            <w:r w:rsidRPr="006F61ED">
              <w:rPr>
                <w:rFonts w:ascii="Calibri" w:hAnsi="Calibri" w:cs="Calibri"/>
                <w:color w:val="984806" w:themeColor="accent6" w:themeShade="80"/>
              </w:rPr>
              <w:t>Planned</w:t>
            </w:r>
          </w:p>
        </w:tc>
      </w:tr>
      <w:tr w:rsidR="006704FF" w14:paraId="74FCA55C" w14:textId="77777777" w:rsidTr="00D866F3">
        <w:trPr>
          <w:trHeight w:val="310"/>
        </w:trPr>
        <w:tc>
          <w:tcPr>
            <w:tcW w:w="2405" w:type="dxa"/>
          </w:tcPr>
          <w:p w14:paraId="0E93832F" w14:textId="77777777" w:rsidR="006704FF" w:rsidRPr="00D866F3" w:rsidRDefault="006704FF" w:rsidP="006704FF">
            <w:pPr>
              <w:rPr>
                <w:rFonts w:ascii="Calibri" w:hAnsi="Calibri" w:cs="Calibri"/>
              </w:rPr>
            </w:pPr>
            <w:r w:rsidRPr="00D866F3">
              <w:rPr>
                <w:rFonts w:ascii="Calibri" w:hAnsi="Calibri" w:cs="Calibri"/>
              </w:rPr>
              <w:t>Guatemala</w:t>
            </w:r>
          </w:p>
        </w:tc>
        <w:tc>
          <w:tcPr>
            <w:tcW w:w="3602" w:type="dxa"/>
          </w:tcPr>
          <w:p w14:paraId="4C1C55B3" w14:textId="77777777" w:rsidR="006704FF" w:rsidRPr="006F61ED" w:rsidRDefault="006704FF" w:rsidP="006704FF">
            <w:pPr>
              <w:jc w:val="center"/>
              <w:rPr>
                <w:rFonts w:ascii="Calibri" w:hAnsi="Calibri" w:cs="Calibri"/>
              </w:rPr>
            </w:pPr>
            <w:r w:rsidRPr="006F61ED">
              <w:rPr>
                <w:rFonts w:ascii="Calibri" w:hAnsi="Calibri" w:cs="Calibri"/>
              </w:rPr>
              <w:t>2010</w:t>
            </w:r>
          </w:p>
        </w:tc>
        <w:tc>
          <w:tcPr>
            <w:tcW w:w="3003" w:type="dxa"/>
          </w:tcPr>
          <w:p w14:paraId="761093A2" w14:textId="77777777" w:rsidR="006704FF" w:rsidRPr="006F61ED" w:rsidRDefault="006704FF" w:rsidP="006704FF">
            <w:pPr>
              <w:jc w:val="center"/>
              <w:rPr>
                <w:rFonts w:ascii="Calibri" w:hAnsi="Calibri" w:cs="Calibri"/>
                <w:color w:val="984806" w:themeColor="accent6" w:themeShade="80"/>
              </w:rPr>
            </w:pPr>
            <w:r w:rsidRPr="006F61ED">
              <w:rPr>
                <w:rFonts w:ascii="Calibri" w:hAnsi="Calibri" w:cs="Calibri"/>
                <w:color w:val="984806" w:themeColor="accent6" w:themeShade="80"/>
              </w:rPr>
              <w:t>A</w:t>
            </w:r>
          </w:p>
        </w:tc>
      </w:tr>
      <w:tr w:rsidR="006704FF" w14:paraId="56172D6B" w14:textId="77777777" w:rsidTr="00D866F3">
        <w:trPr>
          <w:trHeight w:val="310"/>
        </w:trPr>
        <w:tc>
          <w:tcPr>
            <w:tcW w:w="2405" w:type="dxa"/>
          </w:tcPr>
          <w:p w14:paraId="1B60AFD6" w14:textId="77777777" w:rsidR="006704FF" w:rsidRPr="00D866F3" w:rsidRDefault="006704FF" w:rsidP="006704FF">
            <w:pPr>
              <w:rPr>
                <w:rFonts w:ascii="Calibri" w:hAnsi="Calibri" w:cs="Calibri"/>
              </w:rPr>
            </w:pPr>
          </w:p>
        </w:tc>
        <w:tc>
          <w:tcPr>
            <w:tcW w:w="3602" w:type="dxa"/>
          </w:tcPr>
          <w:p w14:paraId="6746707E" w14:textId="77777777" w:rsidR="006704FF" w:rsidRPr="006F61ED" w:rsidRDefault="006704FF" w:rsidP="006704FF">
            <w:pPr>
              <w:jc w:val="center"/>
              <w:rPr>
                <w:rFonts w:ascii="Calibri" w:hAnsi="Calibri" w:cs="Calibri"/>
              </w:rPr>
            </w:pPr>
            <w:r w:rsidRPr="006F61ED">
              <w:rPr>
                <w:rFonts w:ascii="Calibri" w:hAnsi="Calibri" w:cs="Calibri"/>
              </w:rPr>
              <w:t>2013</w:t>
            </w:r>
          </w:p>
        </w:tc>
        <w:tc>
          <w:tcPr>
            <w:tcW w:w="3003" w:type="dxa"/>
          </w:tcPr>
          <w:p w14:paraId="1456841E" w14:textId="77777777" w:rsidR="006704FF" w:rsidRPr="006F61ED" w:rsidRDefault="006704FF" w:rsidP="006704FF">
            <w:pPr>
              <w:jc w:val="center"/>
              <w:rPr>
                <w:rFonts w:ascii="Calibri" w:hAnsi="Calibri" w:cs="Calibri"/>
                <w:color w:val="984806" w:themeColor="accent6" w:themeShade="80"/>
              </w:rPr>
            </w:pPr>
            <w:r w:rsidRPr="006F61ED">
              <w:rPr>
                <w:rFonts w:ascii="Calibri" w:hAnsi="Calibri" w:cs="Calibri"/>
                <w:color w:val="984806" w:themeColor="accent6" w:themeShade="80"/>
              </w:rPr>
              <w:t>A</w:t>
            </w:r>
          </w:p>
        </w:tc>
      </w:tr>
      <w:tr w:rsidR="006704FF" w14:paraId="24BA57C3" w14:textId="77777777" w:rsidTr="00D866F3">
        <w:tc>
          <w:tcPr>
            <w:tcW w:w="2405" w:type="dxa"/>
          </w:tcPr>
          <w:p w14:paraId="52363664" w14:textId="77777777" w:rsidR="006704FF" w:rsidRPr="00D866F3" w:rsidRDefault="006704FF" w:rsidP="006704FF">
            <w:pPr>
              <w:rPr>
                <w:rFonts w:ascii="Calibri" w:hAnsi="Calibri" w:cs="Calibri"/>
              </w:rPr>
            </w:pPr>
          </w:p>
        </w:tc>
        <w:tc>
          <w:tcPr>
            <w:tcW w:w="3602" w:type="dxa"/>
          </w:tcPr>
          <w:p w14:paraId="04D16FFA" w14:textId="77777777" w:rsidR="006704FF" w:rsidRPr="006F61ED" w:rsidRDefault="006704FF" w:rsidP="006704FF">
            <w:pPr>
              <w:jc w:val="center"/>
              <w:rPr>
                <w:rFonts w:ascii="Calibri" w:hAnsi="Calibri" w:cs="Calibri"/>
              </w:rPr>
            </w:pPr>
            <w:r w:rsidRPr="006F61ED">
              <w:rPr>
                <w:rFonts w:ascii="Calibri" w:hAnsi="Calibri" w:cs="Calibri"/>
              </w:rPr>
              <w:t>2018</w:t>
            </w:r>
          </w:p>
        </w:tc>
        <w:tc>
          <w:tcPr>
            <w:tcW w:w="3003" w:type="dxa"/>
          </w:tcPr>
          <w:p w14:paraId="71C16E88" w14:textId="77777777" w:rsidR="006704FF" w:rsidRPr="006F61ED" w:rsidRDefault="006704FF" w:rsidP="006704FF">
            <w:pPr>
              <w:jc w:val="center"/>
              <w:rPr>
                <w:rFonts w:ascii="Calibri" w:hAnsi="Calibri" w:cs="Calibri"/>
              </w:rPr>
            </w:pPr>
            <w:r w:rsidRPr="006F61ED">
              <w:rPr>
                <w:rFonts w:ascii="Calibri" w:hAnsi="Calibri" w:cs="Calibri"/>
                <w:color w:val="FF0000"/>
              </w:rPr>
              <w:t>Not public</w:t>
            </w:r>
          </w:p>
        </w:tc>
      </w:tr>
      <w:tr w:rsidR="006704FF" w14:paraId="07C39800" w14:textId="77777777" w:rsidTr="00D866F3">
        <w:trPr>
          <w:trHeight w:val="311"/>
        </w:trPr>
        <w:tc>
          <w:tcPr>
            <w:tcW w:w="2405" w:type="dxa"/>
          </w:tcPr>
          <w:p w14:paraId="1BC58D2A" w14:textId="77777777" w:rsidR="006704FF" w:rsidRPr="00D866F3" w:rsidRDefault="006704FF" w:rsidP="006704FF">
            <w:pPr>
              <w:rPr>
                <w:rFonts w:ascii="Calibri" w:hAnsi="Calibri" w:cs="Calibri"/>
              </w:rPr>
            </w:pPr>
            <w:r w:rsidRPr="00D866F3">
              <w:rPr>
                <w:rFonts w:ascii="Calibri" w:hAnsi="Calibri" w:cs="Calibri"/>
              </w:rPr>
              <w:t>Indonesia</w:t>
            </w:r>
          </w:p>
        </w:tc>
        <w:tc>
          <w:tcPr>
            <w:tcW w:w="3602" w:type="dxa"/>
          </w:tcPr>
          <w:p w14:paraId="04C53604" w14:textId="77777777" w:rsidR="006704FF" w:rsidRPr="006F61ED" w:rsidRDefault="006704FF" w:rsidP="006704FF">
            <w:pPr>
              <w:jc w:val="center"/>
              <w:rPr>
                <w:rFonts w:ascii="Calibri" w:hAnsi="Calibri" w:cs="Calibri"/>
              </w:rPr>
            </w:pPr>
            <w:r w:rsidRPr="006F61ED">
              <w:rPr>
                <w:rFonts w:ascii="Calibri" w:hAnsi="Calibri" w:cs="Calibri"/>
              </w:rPr>
              <w:t>2007</w:t>
            </w:r>
          </w:p>
        </w:tc>
        <w:tc>
          <w:tcPr>
            <w:tcW w:w="3003" w:type="dxa"/>
          </w:tcPr>
          <w:p w14:paraId="1CB5DBF2" w14:textId="77777777" w:rsidR="006704FF" w:rsidRPr="006F61ED" w:rsidRDefault="006704FF" w:rsidP="006704FF">
            <w:pPr>
              <w:jc w:val="center"/>
              <w:rPr>
                <w:rFonts w:ascii="Calibri" w:hAnsi="Calibri" w:cs="Calibri"/>
                <w:color w:val="984806" w:themeColor="accent6" w:themeShade="80"/>
              </w:rPr>
            </w:pPr>
            <w:r w:rsidRPr="006F61ED">
              <w:rPr>
                <w:rFonts w:ascii="Calibri" w:hAnsi="Calibri" w:cs="Calibri"/>
                <w:color w:val="984806" w:themeColor="accent6" w:themeShade="80"/>
              </w:rPr>
              <w:t>B</w:t>
            </w:r>
          </w:p>
        </w:tc>
      </w:tr>
      <w:tr w:rsidR="006704FF" w14:paraId="162CF60E" w14:textId="77777777" w:rsidTr="00D866F3">
        <w:trPr>
          <w:trHeight w:val="311"/>
        </w:trPr>
        <w:tc>
          <w:tcPr>
            <w:tcW w:w="2405" w:type="dxa"/>
          </w:tcPr>
          <w:p w14:paraId="75AAFD9B" w14:textId="77777777" w:rsidR="006704FF" w:rsidRPr="00D866F3" w:rsidRDefault="006704FF" w:rsidP="006704FF">
            <w:pPr>
              <w:rPr>
                <w:rFonts w:ascii="Calibri" w:hAnsi="Calibri" w:cs="Calibri"/>
              </w:rPr>
            </w:pPr>
          </w:p>
        </w:tc>
        <w:tc>
          <w:tcPr>
            <w:tcW w:w="3602" w:type="dxa"/>
          </w:tcPr>
          <w:p w14:paraId="3BD019B2" w14:textId="77777777" w:rsidR="006704FF" w:rsidRPr="006F61ED" w:rsidRDefault="006704FF" w:rsidP="006704FF">
            <w:pPr>
              <w:jc w:val="center"/>
              <w:rPr>
                <w:rFonts w:ascii="Calibri" w:hAnsi="Calibri" w:cs="Calibri"/>
              </w:rPr>
            </w:pPr>
            <w:r w:rsidRPr="006F61ED">
              <w:rPr>
                <w:rFonts w:ascii="Calibri" w:hAnsi="Calibri" w:cs="Calibri"/>
              </w:rPr>
              <w:t>2012</w:t>
            </w:r>
          </w:p>
        </w:tc>
        <w:tc>
          <w:tcPr>
            <w:tcW w:w="3003" w:type="dxa"/>
          </w:tcPr>
          <w:p w14:paraId="39769B34" w14:textId="77777777" w:rsidR="006704FF" w:rsidRPr="006F61ED" w:rsidRDefault="006704FF" w:rsidP="006704FF">
            <w:pPr>
              <w:jc w:val="center"/>
              <w:rPr>
                <w:rFonts w:ascii="Calibri" w:hAnsi="Calibri" w:cs="Calibri"/>
                <w:color w:val="984806" w:themeColor="accent6" w:themeShade="80"/>
              </w:rPr>
            </w:pPr>
            <w:r w:rsidRPr="006F61ED">
              <w:rPr>
                <w:rFonts w:ascii="Calibri" w:hAnsi="Calibri" w:cs="Calibri"/>
                <w:color w:val="984806" w:themeColor="accent6" w:themeShade="80"/>
              </w:rPr>
              <w:t>A</w:t>
            </w:r>
          </w:p>
        </w:tc>
      </w:tr>
      <w:tr w:rsidR="006704FF" w14:paraId="7B719BCD" w14:textId="77777777" w:rsidTr="00D866F3">
        <w:trPr>
          <w:trHeight w:val="311"/>
        </w:trPr>
        <w:tc>
          <w:tcPr>
            <w:tcW w:w="2405" w:type="dxa"/>
          </w:tcPr>
          <w:p w14:paraId="55E83A98" w14:textId="77777777" w:rsidR="006704FF" w:rsidRPr="00D866F3" w:rsidRDefault="006704FF" w:rsidP="006704FF">
            <w:pPr>
              <w:rPr>
                <w:rFonts w:ascii="Calibri" w:hAnsi="Calibri" w:cs="Calibri"/>
              </w:rPr>
            </w:pPr>
          </w:p>
        </w:tc>
        <w:tc>
          <w:tcPr>
            <w:tcW w:w="3602" w:type="dxa"/>
          </w:tcPr>
          <w:p w14:paraId="491CCC4F" w14:textId="77777777" w:rsidR="006704FF" w:rsidRPr="006F61ED" w:rsidRDefault="006704FF" w:rsidP="006704FF">
            <w:pPr>
              <w:jc w:val="center"/>
              <w:rPr>
                <w:rFonts w:ascii="Calibri" w:hAnsi="Calibri" w:cs="Calibri"/>
              </w:rPr>
            </w:pPr>
            <w:r w:rsidRPr="006F61ED">
              <w:rPr>
                <w:rFonts w:ascii="Calibri" w:hAnsi="Calibri" w:cs="Calibri"/>
              </w:rPr>
              <w:t>2017</w:t>
            </w:r>
          </w:p>
        </w:tc>
        <w:tc>
          <w:tcPr>
            <w:tcW w:w="3003" w:type="dxa"/>
          </w:tcPr>
          <w:p w14:paraId="70D6CC89" w14:textId="77777777" w:rsidR="006704FF" w:rsidRPr="006F61ED" w:rsidRDefault="006704FF" w:rsidP="006704FF">
            <w:pPr>
              <w:jc w:val="center"/>
              <w:rPr>
                <w:rFonts w:ascii="Calibri" w:hAnsi="Calibri" w:cs="Calibri"/>
                <w:color w:val="984806" w:themeColor="accent6" w:themeShade="80"/>
              </w:rPr>
            </w:pPr>
            <w:r w:rsidRPr="006F61ED">
              <w:rPr>
                <w:rFonts w:ascii="Calibri" w:hAnsi="Calibri" w:cs="Calibri"/>
                <w:color w:val="984806" w:themeColor="accent6" w:themeShade="80"/>
              </w:rPr>
              <w:t>A</w:t>
            </w:r>
          </w:p>
        </w:tc>
      </w:tr>
      <w:tr w:rsidR="006704FF" w14:paraId="57883048" w14:textId="77777777" w:rsidTr="00D866F3">
        <w:trPr>
          <w:trHeight w:val="283"/>
        </w:trPr>
        <w:tc>
          <w:tcPr>
            <w:tcW w:w="2405" w:type="dxa"/>
          </w:tcPr>
          <w:p w14:paraId="540B793D" w14:textId="368F3510" w:rsidR="006704FF" w:rsidRPr="00D866F3" w:rsidRDefault="006704FF" w:rsidP="006704FF">
            <w:pPr>
              <w:rPr>
                <w:rFonts w:ascii="Calibri" w:hAnsi="Calibri" w:cs="Calibri"/>
              </w:rPr>
            </w:pPr>
            <w:r w:rsidRPr="00D46F7E">
              <w:rPr>
                <w:b/>
              </w:rPr>
              <w:t>Liberia</w:t>
            </w:r>
          </w:p>
        </w:tc>
        <w:tc>
          <w:tcPr>
            <w:tcW w:w="3602" w:type="dxa"/>
          </w:tcPr>
          <w:p w14:paraId="5736FAF1" w14:textId="2EF36621" w:rsidR="006704FF" w:rsidRPr="006F61ED" w:rsidRDefault="006704FF" w:rsidP="006704FF">
            <w:pPr>
              <w:jc w:val="center"/>
              <w:rPr>
                <w:rFonts w:ascii="Calibri" w:hAnsi="Calibri" w:cs="Calibri"/>
              </w:rPr>
            </w:pPr>
            <w:r>
              <w:t>2009</w:t>
            </w:r>
          </w:p>
        </w:tc>
        <w:tc>
          <w:tcPr>
            <w:tcW w:w="3003" w:type="dxa"/>
          </w:tcPr>
          <w:p w14:paraId="7345CAF6" w14:textId="4AA1C61F" w:rsidR="006704FF" w:rsidRPr="006F61ED" w:rsidRDefault="006704FF" w:rsidP="006704FF">
            <w:pPr>
              <w:jc w:val="center"/>
              <w:rPr>
                <w:rFonts w:ascii="Calibri" w:hAnsi="Calibri" w:cs="Calibri"/>
                <w:color w:val="FF0000"/>
              </w:rPr>
            </w:pPr>
            <w:r w:rsidRPr="00D46F7E">
              <w:rPr>
                <w:color w:val="984806" w:themeColor="accent6" w:themeShade="80"/>
              </w:rPr>
              <w:t>C</w:t>
            </w:r>
          </w:p>
        </w:tc>
      </w:tr>
      <w:tr w:rsidR="006704FF" w14:paraId="69526639" w14:textId="77777777" w:rsidTr="00D866F3">
        <w:trPr>
          <w:trHeight w:val="283"/>
        </w:trPr>
        <w:tc>
          <w:tcPr>
            <w:tcW w:w="2405" w:type="dxa"/>
          </w:tcPr>
          <w:p w14:paraId="0E84A3D3" w14:textId="77777777" w:rsidR="006704FF" w:rsidRPr="00D866F3" w:rsidRDefault="006704FF" w:rsidP="006704FF">
            <w:pPr>
              <w:rPr>
                <w:rFonts w:ascii="Calibri" w:hAnsi="Calibri" w:cs="Calibri"/>
              </w:rPr>
            </w:pPr>
          </w:p>
        </w:tc>
        <w:tc>
          <w:tcPr>
            <w:tcW w:w="3602" w:type="dxa"/>
          </w:tcPr>
          <w:p w14:paraId="118D8DA0" w14:textId="3B3A6DB3" w:rsidR="006704FF" w:rsidRPr="006F61ED" w:rsidRDefault="006704FF" w:rsidP="006704FF">
            <w:pPr>
              <w:jc w:val="center"/>
              <w:rPr>
                <w:rFonts w:ascii="Calibri" w:hAnsi="Calibri" w:cs="Calibri"/>
              </w:rPr>
            </w:pPr>
            <w:r>
              <w:t>2012</w:t>
            </w:r>
          </w:p>
        </w:tc>
        <w:tc>
          <w:tcPr>
            <w:tcW w:w="3003" w:type="dxa"/>
          </w:tcPr>
          <w:p w14:paraId="7E7F00E6" w14:textId="4B8F4F15" w:rsidR="006704FF" w:rsidRPr="006F61ED" w:rsidRDefault="006704FF" w:rsidP="006704FF">
            <w:pPr>
              <w:jc w:val="center"/>
              <w:rPr>
                <w:rFonts w:ascii="Calibri" w:hAnsi="Calibri" w:cs="Calibri"/>
                <w:color w:val="FF0000"/>
              </w:rPr>
            </w:pPr>
            <w:r w:rsidRPr="00D46F7E">
              <w:rPr>
                <w:color w:val="984806" w:themeColor="accent6" w:themeShade="80"/>
              </w:rPr>
              <w:t>C</w:t>
            </w:r>
          </w:p>
        </w:tc>
      </w:tr>
      <w:tr w:rsidR="006704FF" w14:paraId="42698E78" w14:textId="77777777" w:rsidTr="00D866F3">
        <w:trPr>
          <w:trHeight w:val="283"/>
        </w:trPr>
        <w:tc>
          <w:tcPr>
            <w:tcW w:w="2405" w:type="dxa"/>
          </w:tcPr>
          <w:p w14:paraId="485E95F0" w14:textId="77777777" w:rsidR="006704FF" w:rsidRPr="00D866F3" w:rsidRDefault="006704FF" w:rsidP="006704FF">
            <w:pPr>
              <w:rPr>
                <w:rFonts w:ascii="Calibri" w:hAnsi="Calibri" w:cs="Calibri"/>
              </w:rPr>
            </w:pPr>
          </w:p>
        </w:tc>
        <w:tc>
          <w:tcPr>
            <w:tcW w:w="3602" w:type="dxa"/>
          </w:tcPr>
          <w:p w14:paraId="6FAAFADE" w14:textId="53D9B76A" w:rsidR="006704FF" w:rsidRPr="006F61ED" w:rsidRDefault="006704FF" w:rsidP="006704FF">
            <w:pPr>
              <w:jc w:val="center"/>
              <w:rPr>
                <w:rFonts w:ascii="Calibri" w:hAnsi="Calibri" w:cs="Calibri"/>
              </w:rPr>
            </w:pPr>
            <w:r>
              <w:t>2016</w:t>
            </w:r>
          </w:p>
        </w:tc>
        <w:tc>
          <w:tcPr>
            <w:tcW w:w="3003" w:type="dxa"/>
          </w:tcPr>
          <w:p w14:paraId="0D66F8F5" w14:textId="625E2EBA" w:rsidR="006704FF" w:rsidRPr="006F61ED" w:rsidRDefault="006704FF" w:rsidP="006704FF">
            <w:pPr>
              <w:jc w:val="center"/>
              <w:rPr>
                <w:rFonts w:ascii="Calibri" w:hAnsi="Calibri" w:cs="Calibri"/>
                <w:color w:val="FF0000"/>
              </w:rPr>
            </w:pPr>
            <w:r w:rsidRPr="00D46F7E">
              <w:rPr>
                <w:color w:val="984806" w:themeColor="accent6" w:themeShade="80"/>
              </w:rPr>
              <w:t>B</w:t>
            </w:r>
          </w:p>
        </w:tc>
      </w:tr>
      <w:tr w:rsidR="006704FF" w14:paraId="455193E6" w14:textId="77777777" w:rsidTr="00D866F3">
        <w:trPr>
          <w:trHeight w:val="283"/>
        </w:trPr>
        <w:tc>
          <w:tcPr>
            <w:tcW w:w="2405" w:type="dxa"/>
          </w:tcPr>
          <w:p w14:paraId="7CF27CE0" w14:textId="4FED38ED" w:rsidR="006704FF" w:rsidRPr="00D866F3" w:rsidRDefault="006704FF" w:rsidP="006704FF">
            <w:pPr>
              <w:rPr>
                <w:rFonts w:ascii="Calibri" w:hAnsi="Calibri" w:cs="Calibri"/>
              </w:rPr>
            </w:pPr>
            <w:r w:rsidRPr="00D866F3">
              <w:rPr>
                <w:rFonts w:ascii="Calibri" w:hAnsi="Calibri" w:cs="Calibri"/>
              </w:rPr>
              <w:t>Nigeria</w:t>
            </w:r>
          </w:p>
        </w:tc>
        <w:tc>
          <w:tcPr>
            <w:tcW w:w="3602" w:type="dxa"/>
          </w:tcPr>
          <w:p w14:paraId="7DADA1C5" w14:textId="5AADAAD9" w:rsidR="006704FF" w:rsidRPr="006F61ED" w:rsidRDefault="006704FF" w:rsidP="006704FF">
            <w:pPr>
              <w:jc w:val="center"/>
              <w:rPr>
                <w:rFonts w:ascii="Calibri" w:hAnsi="Calibri" w:cs="Calibri"/>
              </w:rPr>
            </w:pPr>
            <w:r w:rsidRPr="006F61ED">
              <w:rPr>
                <w:rFonts w:ascii="Calibri" w:hAnsi="Calibri" w:cs="Calibri"/>
              </w:rPr>
              <w:t>2013</w:t>
            </w:r>
          </w:p>
        </w:tc>
        <w:tc>
          <w:tcPr>
            <w:tcW w:w="3003" w:type="dxa"/>
          </w:tcPr>
          <w:p w14:paraId="09240146" w14:textId="53801D00" w:rsidR="006704FF" w:rsidRPr="006F61ED" w:rsidRDefault="006704FF" w:rsidP="006704FF">
            <w:pPr>
              <w:jc w:val="center"/>
              <w:rPr>
                <w:rFonts w:ascii="Calibri" w:hAnsi="Calibri" w:cs="Calibri"/>
                <w:color w:val="FF0000"/>
              </w:rPr>
            </w:pPr>
            <w:r w:rsidRPr="006F61ED">
              <w:rPr>
                <w:rFonts w:ascii="Calibri" w:hAnsi="Calibri" w:cs="Calibri"/>
                <w:color w:val="FF0000"/>
              </w:rPr>
              <w:t>Draft, not public</w:t>
            </w:r>
          </w:p>
        </w:tc>
      </w:tr>
      <w:tr w:rsidR="006704FF" w14:paraId="1717B310" w14:textId="77777777" w:rsidTr="00D866F3">
        <w:trPr>
          <w:trHeight w:val="283"/>
        </w:trPr>
        <w:tc>
          <w:tcPr>
            <w:tcW w:w="2405" w:type="dxa"/>
          </w:tcPr>
          <w:p w14:paraId="50730760" w14:textId="77777777" w:rsidR="006704FF" w:rsidRPr="00D866F3" w:rsidRDefault="006704FF" w:rsidP="006704FF">
            <w:pPr>
              <w:rPr>
                <w:rFonts w:ascii="Calibri" w:hAnsi="Calibri" w:cs="Calibri"/>
              </w:rPr>
            </w:pPr>
            <w:r w:rsidRPr="00D866F3">
              <w:rPr>
                <w:rFonts w:ascii="Calibri" w:hAnsi="Calibri" w:cs="Calibri"/>
              </w:rPr>
              <w:t>Paraguay</w:t>
            </w:r>
          </w:p>
        </w:tc>
        <w:tc>
          <w:tcPr>
            <w:tcW w:w="3602" w:type="dxa"/>
          </w:tcPr>
          <w:p w14:paraId="67EECA1C" w14:textId="77777777" w:rsidR="006704FF" w:rsidRPr="006F61ED" w:rsidRDefault="006704FF" w:rsidP="006704FF">
            <w:pPr>
              <w:jc w:val="center"/>
              <w:rPr>
                <w:rFonts w:ascii="Calibri" w:hAnsi="Calibri" w:cs="Calibri"/>
              </w:rPr>
            </w:pPr>
            <w:r w:rsidRPr="006F61ED">
              <w:rPr>
                <w:rFonts w:ascii="Calibri" w:hAnsi="Calibri" w:cs="Calibri"/>
              </w:rPr>
              <w:t>2008</w:t>
            </w:r>
          </w:p>
        </w:tc>
        <w:tc>
          <w:tcPr>
            <w:tcW w:w="3003" w:type="dxa"/>
          </w:tcPr>
          <w:p w14:paraId="4ECC8503" w14:textId="77777777" w:rsidR="006704FF" w:rsidRPr="006F61ED" w:rsidRDefault="006704FF" w:rsidP="006704FF">
            <w:pPr>
              <w:jc w:val="center"/>
              <w:rPr>
                <w:rFonts w:ascii="Calibri" w:hAnsi="Calibri" w:cs="Calibri"/>
                <w:color w:val="FF0000"/>
              </w:rPr>
            </w:pPr>
            <w:r w:rsidRPr="006F61ED">
              <w:rPr>
                <w:rFonts w:ascii="Calibri" w:hAnsi="Calibri" w:cs="Calibri"/>
                <w:color w:val="FF0000"/>
              </w:rPr>
              <w:t>A</w:t>
            </w:r>
          </w:p>
        </w:tc>
      </w:tr>
      <w:tr w:rsidR="006704FF" w14:paraId="4D145510" w14:textId="77777777" w:rsidTr="00D866F3">
        <w:trPr>
          <w:trHeight w:val="283"/>
        </w:trPr>
        <w:tc>
          <w:tcPr>
            <w:tcW w:w="2405" w:type="dxa"/>
          </w:tcPr>
          <w:p w14:paraId="033D20AB" w14:textId="77777777" w:rsidR="006704FF" w:rsidRPr="00D866F3" w:rsidRDefault="006704FF" w:rsidP="006704FF">
            <w:pPr>
              <w:rPr>
                <w:rFonts w:ascii="Calibri" w:hAnsi="Calibri" w:cs="Calibri"/>
              </w:rPr>
            </w:pPr>
          </w:p>
        </w:tc>
        <w:tc>
          <w:tcPr>
            <w:tcW w:w="3602" w:type="dxa"/>
          </w:tcPr>
          <w:p w14:paraId="5B1AE7E8" w14:textId="77777777" w:rsidR="006704FF" w:rsidRPr="006F61ED" w:rsidRDefault="006704FF" w:rsidP="006704FF">
            <w:pPr>
              <w:jc w:val="center"/>
              <w:rPr>
                <w:rFonts w:ascii="Calibri" w:hAnsi="Calibri" w:cs="Calibri"/>
              </w:rPr>
            </w:pPr>
            <w:r w:rsidRPr="006F61ED">
              <w:rPr>
                <w:rFonts w:ascii="Calibri" w:hAnsi="Calibri" w:cs="Calibri"/>
              </w:rPr>
              <w:t>2011</w:t>
            </w:r>
          </w:p>
        </w:tc>
        <w:tc>
          <w:tcPr>
            <w:tcW w:w="3003" w:type="dxa"/>
          </w:tcPr>
          <w:p w14:paraId="323F9A6F" w14:textId="77777777" w:rsidR="006704FF" w:rsidRPr="006F61ED" w:rsidRDefault="006704FF" w:rsidP="006704FF">
            <w:pPr>
              <w:jc w:val="center"/>
              <w:rPr>
                <w:rFonts w:ascii="Calibri" w:hAnsi="Calibri" w:cs="Calibri"/>
                <w:color w:val="FF0000"/>
              </w:rPr>
            </w:pPr>
            <w:r w:rsidRPr="006F61ED">
              <w:rPr>
                <w:rFonts w:ascii="Calibri" w:hAnsi="Calibri" w:cs="Calibri"/>
                <w:color w:val="FF0000"/>
              </w:rPr>
              <w:t>B</w:t>
            </w:r>
          </w:p>
        </w:tc>
      </w:tr>
      <w:tr w:rsidR="006704FF" w14:paraId="641B505F" w14:textId="77777777" w:rsidTr="00D866F3">
        <w:trPr>
          <w:trHeight w:val="283"/>
        </w:trPr>
        <w:tc>
          <w:tcPr>
            <w:tcW w:w="2405" w:type="dxa"/>
          </w:tcPr>
          <w:p w14:paraId="20101E42" w14:textId="77777777" w:rsidR="006704FF" w:rsidRPr="00D866F3" w:rsidRDefault="006704FF" w:rsidP="006704FF">
            <w:pPr>
              <w:rPr>
                <w:rFonts w:ascii="Calibri" w:hAnsi="Calibri" w:cs="Calibri"/>
              </w:rPr>
            </w:pPr>
          </w:p>
        </w:tc>
        <w:tc>
          <w:tcPr>
            <w:tcW w:w="3602" w:type="dxa"/>
          </w:tcPr>
          <w:p w14:paraId="25657C7B" w14:textId="77777777" w:rsidR="006704FF" w:rsidRPr="006F61ED" w:rsidRDefault="006704FF" w:rsidP="006704FF">
            <w:pPr>
              <w:jc w:val="center"/>
              <w:rPr>
                <w:rFonts w:ascii="Calibri" w:hAnsi="Calibri" w:cs="Calibri"/>
              </w:rPr>
            </w:pPr>
            <w:r w:rsidRPr="006F61ED">
              <w:rPr>
                <w:rFonts w:ascii="Calibri" w:hAnsi="Calibri" w:cs="Calibri"/>
              </w:rPr>
              <w:t>2016</w:t>
            </w:r>
          </w:p>
        </w:tc>
        <w:tc>
          <w:tcPr>
            <w:tcW w:w="3003" w:type="dxa"/>
          </w:tcPr>
          <w:p w14:paraId="41653E7E" w14:textId="77777777" w:rsidR="006704FF" w:rsidRPr="006F61ED" w:rsidRDefault="006704FF" w:rsidP="006704FF">
            <w:pPr>
              <w:jc w:val="center"/>
              <w:rPr>
                <w:rFonts w:ascii="Calibri" w:hAnsi="Calibri" w:cs="Calibri"/>
                <w:color w:val="FF0000"/>
              </w:rPr>
            </w:pPr>
            <w:r w:rsidRPr="006F61ED">
              <w:rPr>
                <w:rFonts w:ascii="Calibri" w:hAnsi="Calibri" w:cs="Calibri"/>
                <w:color w:val="FF0000"/>
              </w:rPr>
              <w:t>D</w:t>
            </w:r>
          </w:p>
        </w:tc>
      </w:tr>
      <w:tr w:rsidR="006704FF" w14:paraId="25E0C6A5" w14:textId="77777777" w:rsidTr="00D866F3">
        <w:trPr>
          <w:trHeight w:val="283"/>
        </w:trPr>
        <w:tc>
          <w:tcPr>
            <w:tcW w:w="2405" w:type="dxa"/>
          </w:tcPr>
          <w:p w14:paraId="06E73C3C" w14:textId="77777777" w:rsidR="006704FF" w:rsidRPr="00D866F3" w:rsidRDefault="006704FF" w:rsidP="006704FF">
            <w:pPr>
              <w:rPr>
                <w:rFonts w:ascii="Calibri" w:hAnsi="Calibri" w:cs="Calibri"/>
              </w:rPr>
            </w:pPr>
            <w:r w:rsidRPr="00D866F3">
              <w:rPr>
                <w:rFonts w:ascii="Calibri" w:hAnsi="Calibri" w:cs="Calibri"/>
              </w:rPr>
              <w:t>Philippines</w:t>
            </w:r>
          </w:p>
        </w:tc>
        <w:tc>
          <w:tcPr>
            <w:tcW w:w="3602" w:type="dxa"/>
          </w:tcPr>
          <w:p w14:paraId="6FFE769A" w14:textId="77777777" w:rsidR="006704FF" w:rsidRPr="006F61ED" w:rsidRDefault="006704FF" w:rsidP="006704FF">
            <w:pPr>
              <w:jc w:val="center"/>
              <w:rPr>
                <w:rFonts w:ascii="Calibri" w:hAnsi="Calibri" w:cs="Calibri"/>
              </w:rPr>
            </w:pPr>
            <w:r w:rsidRPr="006F61ED">
              <w:rPr>
                <w:rFonts w:ascii="Calibri" w:hAnsi="Calibri" w:cs="Calibri"/>
              </w:rPr>
              <w:t>2010</w:t>
            </w:r>
          </w:p>
        </w:tc>
        <w:tc>
          <w:tcPr>
            <w:tcW w:w="3003" w:type="dxa"/>
          </w:tcPr>
          <w:p w14:paraId="1018E39D" w14:textId="77777777" w:rsidR="006704FF" w:rsidRPr="006F61ED" w:rsidRDefault="006704FF" w:rsidP="006704FF">
            <w:pPr>
              <w:jc w:val="center"/>
              <w:rPr>
                <w:rFonts w:ascii="Calibri" w:hAnsi="Calibri" w:cs="Calibri"/>
                <w:color w:val="984806" w:themeColor="accent6" w:themeShade="80"/>
              </w:rPr>
            </w:pPr>
            <w:r w:rsidRPr="006F61ED">
              <w:rPr>
                <w:rFonts w:ascii="Calibri" w:hAnsi="Calibri" w:cs="Calibri"/>
                <w:color w:val="984806" w:themeColor="accent6" w:themeShade="80"/>
              </w:rPr>
              <w:t>C</w:t>
            </w:r>
          </w:p>
        </w:tc>
      </w:tr>
      <w:tr w:rsidR="006704FF" w14:paraId="7B3E2DDA" w14:textId="77777777" w:rsidTr="00D866F3">
        <w:trPr>
          <w:trHeight w:val="283"/>
        </w:trPr>
        <w:tc>
          <w:tcPr>
            <w:tcW w:w="2405" w:type="dxa"/>
          </w:tcPr>
          <w:p w14:paraId="3B315BCB" w14:textId="77777777" w:rsidR="006704FF" w:rsidRPr="00D866F3" w:rsidRDefault="006704FF" w:rsidP="006704FF">
            <w:pPr>
              <w:rPr>
                <w:rFonts w:ascii="Calibri" w:hAnsi="Calibri" w:cs="Calibri"/>
              </w:rPr>
            </w:pPr>
          </w:p>
        </w:tc>
        <w:tc>
          <w:tcPr>
            <w:tcW w:w="3602" w:type="dxa"/>
          </w:tcPr>
          <w:p w14:paraId="6F9B48E5" w14:textId="77777777" w:rsidR="006704FF" w:rsidRPr="006F61ED" w:rsidRDefault="006704FF" w:rsidP="006704FF">
            <w:pPr>
              <w:jc w:val="center"/>
              <w:rPr>
                <w:rFonts w:ascii="Calibri" w:hAnsi="Calibri" w:cs="Calibri"/>
              </w:rPr>
            </w:pPr>
            <w:r w:rsidRPr="006F61ED">
              <w:rPr>
                <w:rFonts w:ascii="Calibri" w:hAnsi="Calibri" w:cs="Calibri"/>
              </w:rPr>
              <w:t>2016</w:t>
            </w:r>
          </w:p>
        </w:tc>
        <w:tc>
          <w:tcPr>
            <w:tcW w:w="3003" w:type="dxa"/>
          </w:tcPr>
          <w:p w14:paraId="33486457" w14:textId="77777777" w:rsidR="006704FF" w:rsidRPr="006F61ED" w:rsidRDefault="006704FF" w:rsidP="006704FF">
            <w:pPr>
              <w:jc w:val="center"/>
              <w:rPr>
                <w:rFonts w:ascii="Calibri" w:hAnsi="Calibri" w:cs="Calibri"/>
                <w:color w:val="984806" w:themeColor="accent6" w:themeShade="80"/>
              </w:rPr>
            </w:pPr>
            <w:r w:rsidRPr="006F61ED">
              <w:rPr>
                <w:rFonts w:ascii="Calibri" w:hAnsi="Calibri" w:cs="Calibri"/>
                <w:color w:val="984806" w:themeColor="accent6" w:themeShade="80"/>
              </w:rPr>
              <w:t>A</w:t>
            </w:r>
          </w:p>
        </w:tc>
      </w:tr>
      <w:tr w:rsidR="006704FF" w14:paraId="29CF9578" w14:textId="77777777" w:rsidTr="00D866F3">
        <w:trPr>
          <w:trHeight w:val="311"/>
        </w:trPr>
        <w:tc>
          <w:tcPr>
            <w:tcW w:w="2405" w:type="dxa"/>
          </w:tcPr>
          <w:p w14:paraId="1B71F2A4" w14:textId="77777777" w:rsidR="006704FF" w:rsidRPr="00D866F3" w:rsidRDefault="006704FF" w:rsidP="006704FF">
            <w:pPr>
              <w:rPr>
                <w:rFonts w:ascii="Calibri" w:hAnsi="Calibri" w:cs="Calibri"/>
              </w:rPr>
            </w:pPr>
            <w:r w:rsidRPr="00D866F3">
              <w:rPr>
                <w:rFonts w:ascii="Calibri" w:hAnsi="Calibri" w:cs="Calibri"/>
              </w:rPr>
              <w:t>South Africa</w:t>
            </w:r>
          </w:p>
        </w:tc>
        <w:tc>
          <w:tcPr>
            <w:tcW w:w="3602" w:type="dxa"/>
          </w:tcPr>
          <w:p w14:paraId="7D764D86" w14:textId="77777777" w:rsidR="006704FF" w:rsidRPr="006F61ED" w:rsidRDefault="006704FF" w:rsidP="006704FF">
            <w:pPr>
              <w:jc w:val="center"/>
              <w:rPr>
                <w:rFonts w:ascii="Calibri" w:hAnsi="Calibri" w:cs="Calibri"/>
              </w:rPr>
            </w:pPr>
            <w:r w:rsidRPr="006F61ED">
              <w:rPr>
                <w:rFonts w:ascii="Calibri" w:hAnsi="Calibri" w:cs="Calibri"/>
              </w:rPr>
              <w:t>2008</w:t>
            </w:r>
          </w:p>
        </w:tc>
        <w:tc>
          <w:tcPr>
            <w:tcW w:w="3003" w:type="dxa"/>
          </w:tcPr>
          <w:p w14:paraId="3E89069D" w14:textId="77777777" w:rsidR="006704FF" w:rsidRPr="006F61ED" w:rsidRDefault="006704FF" w:rsidP="006704FF">
            <w:pPr>
              <w:jc w:val="center"/>
              <w:rPr>
                <w:rFonts w:ascii="Calibri" w:hAnsi="Calibri" w:cs="Calibri"/>
                <w:color w:val="984806" w:themeColor="accent6" w:themeShade="80"/>
              </w:rPr>
            </w:pPr>
            <w:r w:rsidRPr="006F61ED">
              <w:rPr>
                <w:rFonts w:ascii="Calibri" w:hAnsi="Calibri" w:cs="Calibri"/>
                <w:color w:val="984806" w:themeColor="accent6" w:themeShade="80"/>
              </w:rPr>
              <w:t>A</w:t>
            </w:r>
          </w:p>
        </w:tc>
      </w:tr>
      <w:tr w:rsidR="006704FF" w14:paraId="588E1C0B" w14:textId="77777777" w:rsidTr="00D866F3">
        <w:trPr>
          <w:trHeight w:val="311"/>
        </w:trPr>
        <w:tc>
          <w:tcPr>
            <w:tcW w:w="2405" w:type="dxa"/>
          </w:tcPr>
          <w:p w14:paraId="1BA5EDAB" w14:textId="77777777" w:rsidR="006704FF" w:rsidRPr="00D866F3" w:rsidRDefault="006704FF" w:rsidP="006704FF">
            <w:pPr>
              <w:rPr>
                <w:rFonts w:ascii="Calibri" w:hAnsi="Calibri" w:cs="Calibri"/>
              </w:rPr>
            </w:pPr>
          </w:p>
        </w:tc>
        <w:tc>
          <w:tcPr>
            <w:tcW w:w="3602" w:type="dxa"/>
          </w:tcPr>
          <w:p w14:paraId="479B8121" w14:textId="77777777" w:rsidR="006704FF" w:rsidRPr="006F61ED" w:rsidRDefault="006704FF" w:rsidP="006704FF">
            <w:pPr>
              <w:jc w:val="center"/>
              <w:rPr>
                <w:rFonts w:ascii="Calibri" w:hAnsi="Calibri" w:cs="Calibri"/>
              </w:rPr>
            </w:pPr>
            <w:r w:rsidRPr="006F61ED">
              <w:rPr>
                <w:rFonts w:ascii="Calibri" w:hAnsi="Calibri" w:cs="Calibri"/>
              </w:rPr>
              <w:t>2014</w:t>
            </w:r>
          </w:p>
        </w:tc>
        <w:tc>
          <w:tcPr>
            <w:tcW w:w="3003" w:type="dxa"/>
          </w:tcPr>
          <w:p w14:paraId="33B597D2" w14:textId="77777777" w:rsidR="006704FF" w:rsidRPr="006F61ED" w:rsidRDefault="006704FF" w:rsidP="006704FF">
            <w:pPr>
              <w:jc w:val="center"/>
              <w:rPr>
                <w:rFonts w:ascii="Calibri" w:hAnsi="Calibri" w:cs="Calibri"/>
                <w:color w:val="984806" w:themeColor="accent6" w:themeShade="80"/>
              </w:rPr>
            </w:pPr>
            <w:r w:rsidRPr="006F61ED">
              <w:rPr>
                <w:rFonts w:ascii="Calibri" w:hAnsi="Calibri" w:cs="Calibri"/>
                <w:color w:val="984806" w:themeColor="accent6" w:themeShade="80"/>
              </w:rPr>
              <w:t>A</w:t>
            </w:r>
          </w:p>
        </w:tc>
      </w:tr>
      <w:tr w:rsidR="006704FF" w14:paraId="05EF9D83" w14:textId="77777777" w:rsidTr="00D866F3">
        <w:trPr>
          <w:trHeight w:val="283"/>
        </w:trPr>
        <w:tc>
          <w:tcPr>
            <w:tcW w:w="2405" w:type="dxa"/>
          </w:tcPr>
          <w:p w14:paraId="5ED6BA25" w14:textId="77777777" w:rsidR="006704FF" w:rsidRPr="00D866F3" w:rsidRDefault="006704FF" w:rsidP="006704FF">
            <w:pPr>
              <w:rPr>
                <w:rFonts w:ascii="Calibri" w:hAnsi="Calibri" w:cs="Calibri"/>
              </w:rPr>
            </w:pPr>
            <w:r w:rsidRPr="00D866F3">
              <w:rPr>
                <w:rFonts w:ascii="Calibri" w:hAnsi="Calibri" w:cs="Calibri"/>
              </w:rPr>
              <w:t>Tunisia</w:t>
            </w:r>
          </w:p>
        </w:tc>
        <w:tc>
          <w:tcPr>
            <w:tcW w:w="3602" w:type="dxa"/>
          </w:tcPr>
          <w:p w14:paraId="6EB009B6" w14:textId="77777777" w:rsidR="006704FF" w:rsidRPr="006F61ED" w:rsidRDefault="006704FF" w:rsidP="006704FF">
            <w:pPr>
              <w:jc w:val="center"/>
              <w:rPr>
                <w:rFonts w:ascii="Calibri" w:hAnsi="Calibri" w:cs="Calibri"/>
              </w:rPr>
            </w:pPr>
            <w:r w:rsidRPr="006F61ED">
              <w:rPr>
                <w:rFonts w:ascii="Calibri" w:hAnsi="Calibri" w:cs="Calibri"/>
              </w:rPr>
              <w:t>2010</w:t>
            </w:r>
          </w:p>
        </w:tc>
        <w:tc>
          <w:tcPr>
            <w:tcW w:w="3003" w:type="dxa"/>
          </w:tcPr>
          <w:p w14:paraId="72717703" w14:textId="77777777" w:rsidR="006704FF" w:rsidRPr="006F61ED" w:rsidRDefault="006704FF" w:rsidP="006704FF">
            <w:pPr>
              <w:jc w:val="center"/>
              <w:rPr>
                <w:rFonts w:ascii="Calibri" w:hAnsi="Calibri" w:cs="Calibri"/>
                <w:color w:val="FF0000"/>
              </w:rPr>
            </w:pPr>
            <w:r w:rsidRPr="006F61ED">
              <w:rPr>
                <w:rFonts w:ascii="Calibri" w:hAnsi="Calibri" w:cs="Calibri"/>
                <w:color w:val="FF0000"/>
              </w:rPr>
              <w:t>B</w:t>
            </w:r>
          </w:p>
        </w:tc>
      </w:tr>
      <w:tr w:rsidR="006704FF" w14:paraId="1591A48E" w14:textId="77777777" w:rsidTr="00D866F3">
        <w:trPr>
          <w:trHeight w:val="283"/>
        </w:trPr>
        <w:tc>
          <w:tcPr>
            <w:tcW w:w="2405" w:type="dxa"/>
          </w:tcPr>
          <w:p w14:paraId="547A61F6" w14:textId="77777777" w:rsidR="006704FF" w:rsidRPr="00D866F3" w:rsidRDefault="006704FF" w:rsidP="006704FF">
            <w:pPr>
              <w:rPr>
                <w:rFonts w:ascii="Calibri" w:hAnsi="Calibri" w:cs="Calibri"/>
              </w:rPr>
            </w:pPr>
          </w:p>
        </w:tc>
        <w:tc>
          <w:tcPr>
            <w:tcW w:w="3602" w:type="dxa"/>
          </w:tcPr>
          <w:p w14:paraId="760CFD1F" w14:textId="77777777" w:rsidR="006704FF" w:rsidRPr="006F61ED" w:rsidRDefault="006704FF" w:rsidP="006704FF">
            <w:pPr>
              <w:jc w:val="center"/>
              <w:rPr>
                <w:rFonts w:ascii="Calibri" w:hAnsi="Calibri" w:cs="Calibri"/>
              </w:rPr>
            </w:pPr>
            <w:r w:rsidRPr="006F61ED">
              <w:rPr>
                <w:rFonts w:ascii="Calibri" w:hAnsi="Calibri" w:cs="Calibri"/>
              </w:rPr>
              <w:t>2016</w:t>
            </w:r>
          </w:p>
        </w:tc>
        <w:tc>
          <w:tcPr>
            <w:tcW w:w="3003" w:type="dxa"/>
          </w:tcPr>
          <w:p w14:paraId="6B577789" w14:textId="77777777" w:rsidR="006704FF" w:rsidRPr="006F61ED" w:rsidRDefault="006704FF" w:rsidP="006704FF">
            <w:pPr>
              <w:jc w:val="center"/>
              <w:rPr>
                <w:rFonts w:ascii="Calibri" w:hAnsi="Calibri" w:cs="Calibri"/>
                <w:color w:val="FF0000"/>
              </w:rPr>
            </w:pPr>
            <w:r w:rsidRPr="006F61ED">
              <w:rPr>
                <w:rFonts w:ascii="Calibri" w:hAnsi="Calibri" w:cs="Calibri"/>
                <w:color w:val="FF0000"/>
              </w:rPr>
              <w:t>D</w:t>
            </w:r>
          </w:p>
        </w:tc>
      </w:tr>
      <w:tr w:rsidR="006704FF" w14:paraId="159D6B60" w14:textId="77777777" w:rsidTr="00D866F3">
        <w:trPr>
          <w:trHeight w:val="283"/>
        </w:trPr>
        <w:tc>
          <w:tcPr>
            <w:tcW w:w="2405" w:type="dxa"/>
          </w:tcPr>
          <w:p w14:paraId="0F6290B7" w14:textId="77777777" w:rsidR="006704FF" w:rsidRPr="00D866F3" w:rsidRDefault="006704FF" w:rsidP="006704FF">
            <w:pPr>
              <w:rPr>
                <w:rFonts w:ascii="Calibri" w:hAnsi="Calibri" w:cs="Calibri"/>
              </w:rPr>
            </w:pPr>
            <w:r w:rsidRPr="00D866F3">
              <w:rPr>
                <w:rFonts w:ascii="Calibri" w:hAnsi="Calibri" w:cs="Calibri"/>
              </w:rPr>
              <w:t>Uruguay</w:t>
            </w:r>
          </w:p>
        </w:tc>
        <w:tc>
          <w:tcPr>
            <w:tcW w:w="3602" w:type="dxa"/>
          </w:tcPr>
          <w:p w14:paraId="535667A3" w14:textId="77777777" w:rsidR="006704FF" w:rsidRPr="006F61ED" w:rsidRDefault="006704FF" w:rsidP="006704FF">
            <w:pPr>
              <w:jc w:val="center"/>
              <w:rPr>
                <w:rFonts w:ascii="Calibri" w:hAnsi="Calibri" w:cs="Calibri"/>
              </w:rPr>
            </w:pPr>
            <w:r w:rsidRPr="006F61ED">
              <w:rPr>
                <w:rFonts w:ascii="Calibri" w:hAnsi="Calibri" w:cs="Calibri"/>
              </w:rPr>
              <w:t>2012</w:t>
            </w:r>
          </w:p>
        </w:tc>
        <w:tc>
          <w:tcPr>
            <w:tcW w:w="3003" w:type="dxa"/>
          </w:tcPr>
          <w:p w14:paraId="34D2CA08" w14:textId="77777777" w:rsidR="006704FF" w:rsidRPr="006F61ED" w:rsidRDefault="006704FF" w:rsidP="006704FF">
            <w:pPr>
              <w:jc w:val="center"/>
              <w:rPr>
                <w:rFonts w:ascii="Calibri" w:hAnsi="Calibri" w:cs="Calibri"/>
              </w:rPr>
            </w:pPr>
            <w:r w:rsidRPr="006F61ED">
              <w:rPr>
                <w:rFonts w:ascii="Calibri" w:hAnsi="Calibri" w:cs="Calibri"/>
                <w:color w:val="FF0000"/>
              </w:rPr>
              <w:t>Not public</w:t>
            </w:r>
          </w:p>
        </w:tc>
      </w:tr>
    </w:tbl>
    <w:p w14:paraId="669BBC42" w14:textId="4BBCC17F" w:rsidR="00F863D4" w:rsidRDefault="00F863D4" w:rsidP="00F863D4"/>
    <w:p w14:paraId="0133F620" w14:textId="60D79B71" w:rsidR="00D866F3" w:rsidRPr="00F863D4" w:rsidRDefault="00D866F3" w:rsidP="00D866F3">
      <w:pPr>
        <w:rPr>
          <w:sz w:val="24"/>
          <w:szCs w:val="24"/>
        </w:rPr>
      </w:pPr>
      <w:r>
        <w:rPr>
          <w:sz w:val="24"/>
          <w:szCs w:val="24"/>
        </w:rPr>
        <w:t xml:space="preserve">The table shows improvements in scores for Colombia, the Dominican Republic, Indonesia, </w:t>
      </w:r>
      <w:r w:rsidR="006704FF">
        <w:rPr>
          <w:sz w:val="24"/>
          <w:szCs w:val="24"/>
        </w:rPr>
        <w:t xml:space="preserve">Liberia, </w:t>
      </w:r>
      <w:r>
        <w:rPr>
          <w:sz w:val="24"/>
          <w:szCs w:val="24"/>
        </w:rPr>
        <w:t xml:space="preserve">and the Philippines, and stable (or single) top scores for Brazil, Guatemala, and South Africa. Declining public access to key fiscal information has been reported for Benin, Paraguay and Tunisia. Finally, </w:t>
      </w:r>
      <w:r w:rsidR="006704FF">
        <w:rPr>
          <w:sz w:val="24"/>
          <w:szCs w:val="24"/>
        </w:rPr>
        <w:t>four</w:t>
      </w:r>
      <w:r>
        <w:rPr>
          <w:sz w:val="24"/>
          <w:szCs w:val="24"/>
        </w:rPr>
        <w:t xml:space="preserve"> countries – Benin,</w:t>
      </w:r>
      <w:r w:rsidR="006704FF">
        <w:rPr>
          <w:sz w:val="24"/>
          <w:szCs w:val="24"/>
        </w:rPr>
        <w:t xml:space="preserve"> Egypt,</w:t>
      </w:r>
      <w:r>
        <w:rPr>
          <w:sz w:val="24"/>
          <w:szCs w:val="24"/>
        </w:rPr>
        <w:t xml:space="preserve"> Nigeria and Uruguay - have assessments that have not been published. Publication requires consent of the country authorities.</w:t>
      </w:r>
      <w:r>
        <w:rPr>
          <w:rStyle w:val="FootnoteReference"/>
          <w:sz w:val="24"/>
          <w:szCs w:val="24"/>
        </w:rPr>
        <w:footnoteReference w:id="4"/>
      </w:r>
      <w:r>
        <w:rPr>
          <w:sz w:val="24"/>
          <w:szCs w:val="24"/>
        </w:rPr>
        <w:t xml:space="preserve"> </w:t>
      </w:r>
    </w:p>
    <w:p w14:paraId="2D71963F" w14:textId="77777777" w:rsidR="004965BE" w:rsidRPr="004965BE" w:rsidRDefault="004965BE" w:rsidP="004965BE">
      <w:pPr>
        <w:pStyle w:val="ListParagraph"/>
        <w:numPr>
          <w:ilvl w:val="0"/>
          <w:numId w:val="21"/>
        </w:numPr>
        <w:rPr>
          <w:b/>
          <w:sz w:val="24"/>
          <w:szCs w:val="24"/>
        </w:rPr>
      </w:pPr>
      <w:r w:rsidRPr="004965BE">
        <w:rPr>
          <w:b/>
          <w:sz w:val="24"/>
          <w:szCs w:val="24"/>
        </w:rPr>
        <w:t>Information from the US State Department’s 2018 Fiscal Transparency Report</w:t>
      </w:r>
    </w:p>
    <w:p w14:paraId="7AD8DCA3" w14:textId="0C300798" w:rsidR="00B9404C" w:rsidRPr="008C74AE" w:rsidRDefault="00070267" w:rsidP="00B9404C">
      <w:pPr>
        <w:rPr>
          <w:sz w:val="24"/>
          <w:szCs w:val="24"/>
        </w:rPr>
      </w:pPr>
      <w:r w:rsidRPr="008C74AE">
        <w:rPr>
          <w:sz w:val="24"/>
          <w:szCs w:val="24"/>
        </w:rPr>
        <w:t xml:space="preserve">The U.S. State Department’s Fiscal Transparency Report 2018 </w:t>
      </w:r>
      <w:r w:rsidR="005560CE" w:rsidRPr="008C74AE">
        <w:rPr>
          <w:sz w:val="24"/>
          <w:szCs w:val="24"/>
        </w:rPr>
        <w:t>was published on September 19, 2018. The report, an annual series</w:t>
      </w:r>
      <w:r w:rsidR="00104B2D" w:rsidRPr="008C74AE">
        <w:rPr>
          <w:sz w:val="24"/>
          <w:szCs w:val="24"/>
        </w:rPr>
        <w:t xml:space="preserve">, </w:t>
      </w:r>
      <w:r w:rsidR="00A369D8" w:rsidRPr="008C74AE">
        <w:rPr>
          <w:sz w:val="24"/>
          <w:szCs w:val="24"/>
        </w:rPr>
        <w:t>a</w:t>
      </w:r>
      <w:r w:rsidR="00B9404C" w:rsidRPr="008C74AE">
        <w:rPr>
          <w:sz w:val="24"/>
          <w:szCs w:val="24"/>
        </w:rPr>
        <w:t xml:space="preserve">ssesses fiscal transparency in 141 countries </w:t>
      </w:r>
      <w:r w:rsidR="00CB2DE5" w:rsidRPr="008C74AE">
        <w:rPr>
          <w:sz w:val="24"/>
          <w:szCs w:val="24"/>
        </w:rPr>
        <w:t xml:space="preserve">during the review period of January 1 – December 31, 2017, </w:t>
      </w:r>
      <w:r w:rsidR="00A369D8" w:rsidRPr="008C74AE">
        <w:rPr>
          <w:sz w:val="24"/>
          <w:szCs w:val="24"/>
        </w:rPr>
        <w:t xml:space="preserve">against a set of minimum requirements of fiscal transparency </w:t>
      </w:r>
      <w:r w:rsidR="00FB5BAD" w:rsidRPr="008C74AE">
        <w:rPr>
          <w:sz w:val="24"/>
          <w:szCs w:val="24"/>
        </w:rPr>
        <w:t xml:space="preserve">- </w:t>
      </w:r>
      <w:r w:rsidR="00A369D8" w:rsidRPr="008C74AE">
        <w:rPr>
          <w:sz w:val="24"/>
          <w:szCs w:val="24"/>
        </w:rPr>
        <w:t xml:space="preserve">defined </w:t>
      </w:r>
      <w:r w:rsidR="00A57216" w:rsidRPr="008C74AE">
        <w:rPr>
          <w:sz w:val="24"/>
          <w:szCs w:val="24"/>
        </w:rPr>
        <w:t>as the public a</w:t>
      </w:r>
      <w:r w:rsidR="00B9404C" w:rsidRPr="008C74AE">
        <w:rPr>
          <w:sz w:val="24"/>
          <w:szCs w:val="24"/>
        </w:rPr>
        <w:t xml:space="preserve">vailability, completeness and reliability of key budget documents, </w:t>
      </w:r>
      <w:r w:rsidR="00A57216" w:rsidRPr="008C74AE">
        <w:rPr>
          <w:sz w:val="24"/>
          <w:szCs w:val="24"/>
        </w:rPr>
        <w:t>and</w:t>
      </w:r>
      <w:r w:rsidR="002B3992" w:rsidRPr="008C74AE">
        <w:rPr>
          <w:sz w:val="24"/>
          <w:szCs w:val="24"/>
        </w:rPr>
        <w:t xml:space="preserve"> the </w:t>
      </w:r>
      <w:r w:rsidR="00B9404C" w:rsidRPr="008C74AE">
        <w:rPr>
          <w:sz w:val="24"/>
          <w:szCs w:val="24"/>
        </w:rPr>
        <w:t xml:space="preserve">transparency of </w:t>
      </w:r>
      <w:r w:rsidR="001E0EFB" w:rsidRPr="008C74AE">
        <w:rPr>
          <w:sz w:val="24"/>
          <w:szCs w:val="24"/>
        </w:rPr>
        <w:t xml:space="preserve">the processes for awarding government contracts and licenses for </w:t>
      </w:r>
      <w:r w:rsidR="00B9404C" w:rsidRPr="008C74AE">
        <w:rPr>
          <w:sz w:val="24"/>
          <w:szCs w:val="24"/>
        </w:rPr>
        <w:t xml:space="preserve">natural resource </w:t>
      </w:r>
      <w:r w:rsidR="001E0EFB" w:rsidRPr="008C74AE">
        <w:rPr>
          <w:sz w:val="24"/>
          <w:szCs w:val="24"/>
        </w:rPr>
        <w:t>extraction</w:t>
      </w:r>
      <w:r w:rsidR="00B9404C" w:rsidRPr="008C74AE">
        <w:rPr>
          <w:sz w:val="24"/>
          <w:szCs w:val="24"/>
        </w:rPr>
        <w:t>.</w:t>
      </w:r>
    </w:p>
    <w:p w14:paraId="2C23156A" w14:textId="77777777" w:rsidR="004E7573" w:rsidRPr="008C74AE" w:rsidRDefault="002B3992" w:rsidP="00B9404C">
      <w:pPr>
        <w:rPr>
          <w:sz w:val="24"/>
          <w:szCs w:val="24"/>
        </w:rPr>
      </w:pPr>
      <w:r w:rsidRPr="008C74AE">
        <w:rPr>
          <w:sz w:val="24"/>
          <w:szCs w:val="24"/>
        </w:rPr>
        <w:t>The report f</w:t>
      </w:r>
      <w:r w:rsidR="004E7573" w:rsidRPr="008C74AE">
        <w:rPr>
          <w:sz w:val="24"/>
          <w:szCs w:val="24"/>
        </w:rPr>
        <w:t>indings include:</w:t>
      </w:r>
    </w:p>
    <w:p w14:paraId="43D66C21" w14:textId="77777777" w:rsidR="004E7573" w:rsidRPr="008C74AE" w:rsidRDefault="004E7573" w:rsidP="00B9404C">
      <w:pPr>
        <w:pStyle w:val="ListParagraph"/>
        <w:numPr>
          <w:ilvl w:val="0"/>
          <w:numId w:val="27"/>
        </w:numPr>
        <w:rPr>
          <w:sz w:val="24"/>
          <w:szCs w:val="24"/>
        </w:rPr>
      </w:pPr>
      <w:r w:rsidRPr="008C74AE">
        <w:rPr>
          <w:sz w:val="24"/>
          <w:szCs w:val="24"/>
        </w:rPr>
        <w:t>1</w:t>
      </w:r>
      <w:r w:rsidR="00B9404C" w:rsidRPr="008C74AE">
        <w:rPr>
          <w:sz w:val="24"/>
          <w:szCs w:val="24"/>
        </w:rPr>
        <w:t xml:space="preserve">3 GIFT stewards met </w:t>
      </w:r>
      <w:r w:rsidR="002B3992" w:rsidRPr="008C74AE">
        <w:rPr>
          <w:sz w:val="24"/>
          <w:szCs w:val="24"/>
        </w:rPr>
        <w:t xml:space="preserve">the </w:t>
      </w:r>
      <w:r w:rsidR="00B9404C" w:rsidRPr="008C74AE">
        <w:rPr>
          <w:sz w:val="24"/>
          <w:szCs w:val="24"/>
        </w:rPr>
        <w:t xml:space="preserve">minimum </w:t>
      </w:r>
      <w:r w:rsidRPr="008C74AE">
        <w:rPr>
          <w:sz w:val="24"/>
          <w:szCs w:val="24"/>
        </w:rPr>
        <w:t>fiscal transparency</w:t>
      </w:r>
      <w:r w:rsidR="00B9404C" w:rsidRPr="008C74AE">
        <w:rPr>
          <w:sz w:val="24"/>
          <w:szCs w:val="24"/>
        </w:rPr>
        <w:t xml:space="preserve"> requirements:</w:t>
      </w:r>
      <w:r w:rsidRPr="008C74AE">
        <w:rPr>
          <w:sz w:val="24"/>
          <w:szCs w:val="24"/>
        </w:rPr>
        <w:t xml:space="preserve"> </w:t>
      </w:r>
      <w:r w:rsidR="00B9404C" w:rsidRPr="008C74AE">
        <w:rPr>
          <w:sz w:val="24"/>
          <w:szCs w:val="24"/>
        </w:rPr>
        <w:t xml:space="preserve">Argentina, Brazil, Chile, Colombia, Croatia, El Salvador, Guatemala, Indonesia, Mexico, Paraguay, Philippines, South Africa, </w:t>
      </w:r>
      <w:r w:rsidRPr="008C74AE">
        <w:rPr>
          <w:sz w:val="24"/>
          <w:szCs w:val="24"/>
        </w:rPr>
        <w:t xml:space="preserve">and </w:t>
      </w:r>
      <w:r w:rsidR="00B9404C" w:rsidRPr="008C74AE">
        <w:rPr>
          <w:sz w:val="24"/>
          <w:szCs w:val="24"/>
        </w:rPr>
        <w:t>Tunisia.</w:t>
      </w:r>
    </w:p>
    <w:p w14:paraId="589C8276" w14:textId="64A8FF9C" w:rsidR="004E7573" w:rsidRPr="008C74AE" w:rsidRDefault="00B9404C" w:rsidP="00B9404C">
      <w:pPr>
        <w:pStyle w:val="ListParagraph"/>
        <w:numPr>
          <w:ilvl w:val="0"/>
          <w:numId w:val="27"/>
        </w:numPr>
        <w:rPr>
          <w:sz w:val="24"/>
          <w:szCs w:val="24"/>
        </w:rPr>
      </w:pPr>
      <w:r w:rsidRPr="008C74AE">
        <w:rPr>
          <w:sz w:val="24"/>
          <w:szCs w:val="24"/>
        </w:rPr>
        <w:t>6 stewards/partners did not meet minimum requirements:</w:t>
      </w:r>
      <w:r w:rsidR="004E7573" w:rsidRPr="008C74AE">
        <w:rPr>
          <w:sz w:val="24"/>
          <w:szCs w:val="24"/>
        </w:rPr>
        <w:t xml:space="preserve"> </w:t>
      </w:r>
      <w:r w:rsidRPr="008C74AE">
        <w:rPr>
          <w:sz w:val="24"/>
          <w:szCs w:val="24"/>
        </w:rPr>
        <w:t xml:space="preserve">Benin, </w:t>
      </w:r>
      <w:r w:rsidR="004E7573" w:rsidRPr="008C74AE">
        <w:rPr>
          <w:sz w:val="24"/>
          <w:szCs w:val="24"/>
        </w:rPr>
        <w:t xml:space="preserve">the </w:t>
      </w:r>
      <w:r w:rsidRPr="008C74AE">
        <w:rPr>
          <w:sz w:val="24"/>
          <w:szCs w:val="24"/>
        </w:rPr>
        <w:t>Dom</w:t>
      </w:r>
      <w:r w:rsidR="004E7573" w:rsidRPr="008C74AE">
        <w:rPr>
          <w:sz w:val="24"/>
          <w:szCs w:val="24"/>
        </w:rPr>
        <w:t>inican</w:t>
      </w:r>
      <w:r w:rsidRPr="008C74AE">
        <w:rPr>
          <w:sz w:val="24"/>
          <w:szCs w:val="24"/>
        </w:rPr>
        <w:t xml:space="preserve"> Republic, Egypt, Liberia, Nigeria, </w:t>
      </w:r>
      <w:r w:rsidR="004E7573" w:rsidRPr="008C74AE">
        <w:rPr>
          <w:sz w:val="24"/>
          <w:szCs w:val="24"/>
        </w:rPr>
        <w:t xml:space="preserve">and </w:t>
      </w:r>
      <w:r w:rsidRPr="008C74AE">
        <w:rPr>
          <w:sz w:val="24"/>
          <w:szCs w:val="24"/>
        </w:rPr>
        <w:t>Ukraine</w:t>
      </w:r>
      <w:r w:rsidR="0015425D" w:rsidRPr="008C74AE">
        <w:rPr>
          <w:sz w:val="24"/>
          <w:szCs w:val="24"/>
        </w:rPr>
        <w:t>.</w:t>
      </w:r>
    </w:p>
    <w:p w14:paraId="10B87677" w14:textId="55A1E7CC" w:rsidR="004965BE" w:rsidRPr="008C74AE" w:rsidRDefault="00B9404C" w:rsidP="0025534A">
      <w:pPr>
        <w:pStyle w:val="ListParagraph"/>
        <w:numPr>
          <w:ilvl w:val="0"/>
          <w:numId w:val="27"/>
        </w:numPr>
        <w:rPr>
          <w:sz w:val="24"/>
          <w:szCs w:val="24"/>
        </w:rPr>
      </w:pPr>
      <w:r w:rsidRPr="008C74AE">
        <w:rPr>
          <w:sz w:val="24"/>
          <w:szCs w:val="24"/>
        </w:rPr>
        <w:t xml:space="preserve">Of these 6, </w:t>
      </w:r>
      <w:r w:rsidR="004E7573" w:rsidRPr="008C74AE">
        <w:rPr>
          <w:sz w:val="24"/>
          <w:szCs w:val="24"/>
        </w:rPr>
        <w:t xml:space="preserve">Benin, the Dominican Republic, and Egypt were </w:t>
      </w:r>
      <w:r w:rsidRPr="008C74AE">
        <w:rPr>
          <w:sz w:val="24"/>
          <w:szCs w:val="24"/>
        </w:rPr>
        <w:t xml:space="preserve">assessed as having made significant progress </w:t>
      </w:r>
      <w:r w:rsidR="00CB2DE5" w:rsidRPr="008C74AE">
        <w:rPr>
          <w:sz w:val="24"/>
          <w:szCs w:val="24"/>
        </w:rPr>
        <w:t>towards meeting th</w:t>
      </w:r>
      <w:r w:rsidR="00DC2C8C" w:rsidRPr="008C74AE">
        <w:rPr>
          <w:sz w:val="24"/>
          <w:szCs w:val="24"/>
        </w:rPr>
        <w:t>e minimum</w:t>
      </w:r>
      <w:r w:rsidR="00CB2DE5" w:rsidRPr="008C74AE">
        <w:rPr>
          <w:sz w:val="24"/>
          <w:szCs w:val="24"/>
        </w:rPr>
        <w:t xml:space="preserve"> requirements</w:t>
      </w:r>
      <w:r w:rsidR="00DC2C8C" w:rsidRPr="008C74AE">
        <w:rPr>
          <w:sz w:val="24"/>
          <w:szCs w:val="24"/>
        </w:rPr>
        <w:t>,</w:t>
      </w:r>
      <w:r w:rsidR="00CB2DE5" w:rsidRPr="008C74AE">
        <w:rPr>
          <w:sz w:val="24"/>
          <w:szCs w:val="24"/>
        </w:rPr>
        <w:t xml:space="preserve"> </w:t>
      </w:r>
      <w:r w:rsidR="0015425D" w:rsidRPr="008C74AE">
        <w:rPr>
          <w:sz w:val="24"/>
          <w:szCs w:val="24"/>
        </w:rPr>
        <w:t>while Liberia, Nigeria, and Ukraine were assessed as not having made significant progress</w:t>
      </w:r>
      <w:r w:rsidR="00DC2C8C" w:rsidRPr="008C74AE">
        <w:rPr>
          <w:sz w:val="24"/>
          <w:szCs w:val="24"/>
        </w:rPr>
        <w:t>.</w:t>
      </w:r>
      <w:r w:rsidR="0015425D" w:rsidRPr="008C74AE">
        <w:rPr>
          <w:sz w:val="24"/>
          <w:szCs w:val="24"/>
        </w:rPr>
        <w:t xml:space="preserve"> </w:t>
      </w:r>
      <w:r w:rsidR="008C74AE">
        <w:rPr>
          <w:sz w:val="24"/>
          <w:szCs w:val="24"/>
        </w:rPr>
        <w:br/>
      </w:r>
      <w:r w:rsidR="00070267" w:rsidRPr="008C74AE">
        <w:rPr>
          <w:b/>
          <w:sz w:val="24"/>
          <w:szCs w:val="24"/>
        </w:rPr>
        <w:t xml:space="preserve"> </w:t>
      </w:r>
    </w:p>
    <w:p w14:paraId="6409FBAB" w14:textId="16D55206" w:rsidR="00725D04" w:rsidRPr="00725D04" w:rsidRDefault="00725D04" w:rsidP="00725D04">
      <w:pPr>
        <w:pStyle w:val="ListParagraph"/>
        <w:numPr>
          <w:ilvl w:val="0"/>
          <w:numId w:val="21"/>
        </w:numPr>
        <w:rPr>
          <w:b/>
          <w:sz w:val="24"/>
          <w:szCs w:val="24"/>
        </w:rPr>
      </w:pPr>
      <w:r w:rsidRPr="00725D04">
        <w:rPr>
          <w:b/>
          <w:sz w:val="24"/>
          <w:szCs w:val="24"/>
        </w:rPr>
        <w:t>Information on the fiscal transparency commitments in current Open Government Partnership Action Plans</w:t>
      </w:r>
    </w:p>
    <w:p w14:paraId="340DE999" w14:textId="7E4A64E3" w:rsidR="00641A7A" w:rsidRDefault="00641A7A" w:rsidP="002357E2">
      <w:pPr>
        <w:rPr>
          <w:sz w:val="24"/>
          <w:szCs w:val="24"/>
        </w:rPr>
      </w:pPr>
      <w:r>
        <w:rPr>
          <w:sz w:val="24"/>
          <w:szCs w:val="24"/>
        </w:rPr>
        <w:t xml:space="preserve">This section presents high-level summary information on the fiscal transparency commitments made by GIFT government stewards in their OGP National Action Plans. </w:t>
      </w:r>
      <w:proofErr w:type="gramStart"/>
      <w:r>
        <w:rPr>
          <w:sz w:val="24"/>
          <w:szCs w:val="24"/>
        </w:rPr>
        <w:t>With the exception of</w:t>
      </w:r>
      <w:proofErr w:type="gramEnd"/>
      <w:r>
        <w:rPr>
          <w:sz w:val="24"/>
          <w:szCs w:val="24"/>
        </w:rPr>
        <w:t xml:space="preserve"> </w:t>
      </w:r>
      <w:r w:rsidRPr="00641A7A">
        <w:rPr>
          <w:sz w:val="24"/>
          <w:szCs w:val="24"/>
        </w:rPr>
        <w:t>Benin</w:t>
      </w:r>
      <w:r>
        <w:rPr>
          <w:sz w:val="24"/>
          <w:szCs w:val="24"/>
        </w:rPr>
        <w:t xml:space="preserve">, all current </w:t>
      </w:r>
      <w:r w:rsidRPr="00641A7A">
        <w:rPr>
          <w:sz w:val="24"/>
          <w:szCs w:val="24"/>
        </w:rPr>
        <w:t xml:space="preserve">GIFT </w:t>
      </w:r>
      <w:r>
        <w:rPr>
          <w:sz w:val="24"/>
          <w:szCs w:val="24"/>
        </w:rPr>
        <w:t>government s</w:t>
      </w:r>
      <w:r w:rsidRPr="00641A7A">
        <w:rPr>
          <w:sz w:val="24"/>
          <w:szCs w:val="24"/>
        </w:rPr>
        <w:t>teward</w:t>
      </w:r>
      <w:r>
        <w:rPr>
          <w:sz w:val="24"/>
          <w:szCs w:val="24"/>
        </w:rPr>
        <w:t>s are</w:t>
      </w:r>
      <w:r w:rsidRPr="00641A7A">
        <w:rPr>
          <w:sz w:val="24"/>
          <w:szCs w:val="24"/>
        </w:rPr>
        <w:t xml:space="preserve"> member</w:t>
      </w:r>
      <w:r>
        <w:rPr>
          <w:sz w:val="24"/>
          <w:szCs w:val="24"/>
        </w:rPr>
        <w:t>s</w:t>
      </w:r>
      <w:r w:rsidRPr="00641A7A">
        <w:rPr>
          <w:sz w:val="24"/>
          <w:szCs w:val="24"/>
        </w:rPr>
        <w:t xml:space="preserve"> of the OGP.</w:t>
      </w:r>
      <w:r w:rsidR="00944237">
        <w:rPr>
          <w:rStyle w:val="FootnoteReference"/>
          <w:sz w:val="24"/>
          <w:szCs w:val="24"/>
        </w:rPr>
        <w:footnoteReference w:id="5"/>
      </w:r>
      <w:r>
        <w:rPr>
          <w:sz w:val="24"/>
          <w:szCs w:val="24"/>
        </w:rPr>
        <w:t xml:space="preserve"> </w:t>
      </w:r>
      <w:r>
        <w:rPr>
          <w:sz w:val="24"/>
          <w:szCs w:val="24"/>
        </w:rPr>
        <w:lastRenderedPageBreak/>
        <w:t>The information is drawn from the current action plans on the OGP web site as at mid-September.</w:t>
      </w:r>
    </w:p>
    <w:p w14:paraId="427A0977" w14:textId="0B487A02" w:rsidR="005D0208" w:rsidRDefault="004C0D4E" w:rsidP="002357E2">
      <w:pPr>
        <w:rPr>
          <w:sz w:val="24"/>
          <w:szCs w:val="24"/>
        </w:rPr>
      </w:pPr>
      <w:r>
        <w:rPr>
          <w:sz w:val="24"/>
          <w:szCs w:val="24"/>
        </w:rPr>
        <w:t xml:space="preserve">It </w:t>
      </w:r>
      <w:r w:rsidR="004B3B1F">
        <w:rPr>
          <w:sz w:val="24"/>
          <w:szCs w:val="24"/>
        </w:rPr>
        <w:t xml:space="preserve">should be noted </w:t>
      </w:r>
      <w:r w:rsidR="00A104C0">
        <w:rPr>
          <w:sz w:val="24"/>
          <w:szCs w:val="24"/>
        </w:rPr>
        <w:t xml:space="preserve">that the GIFT definition of fiscal </w:t>
      </w:r>
      <w:r w:rsidR="00A104C0" w:rsidRPr="004C0D4E">
        <w:rPr>
          <w:sz w:val="24"/>
          <w:szCs w:val="24"/>
        </w:rPr>
        <w:t>transparency</w:t>
      </w:r>
      <w:r w:rsidR="00706EC7">
        <w:rPr>
          <w:sz w:val="24"/>
          <w:szCs w:val="24"/>
        </w:rPr>
        <w:t xml:space="preserve"> – which is the basis of the commitments mapping in this paper -</w:t>
      </w:r>
      <w:r w:rsidR="00A104C0" w:rsidRPr="004C0D4E">
        <w:rPr>
          <w:sz w:val="24"/>
          <w:szCs w:val="24"/>
        </w:rPr>
        <w:t xml:space="preserve"> </w:t>
      </w:r>
      <w:r w:rsidR="004B3B1F">
        <w:rPr>
          <w:sz w:val="24"/>
          <w:szCs w:val="24"/>
        </w:rPr>
        <w:t xml:space="preserve">is considerably broader than the definition the OGP uses for ‘budget transparency.’ </w:t>
      </w:r>
      <w:r w:rsidR="00963070">
        <w:rPr>
          <w:sz w:val="24"/>
          <w:szCs w:val="24"/>
        </w:rPr>
        <w:t xml:space="preserve">GIFT’s wider definition </w:t>
      </w:r>
      <w:r w:rsidR="00A104C0">
        <w:rPr>
          <w:sz w:val="24"/>
          <w:szCs w:val="24"/>
        </w:rPr>
        <w:t>includes</w:t>
      </w:r>
      <w:r w:rsidR="00E21310">
        <w:rPr>
          <w:sz w:val="24"/>
          <w:szCs w:val="24"/>
        </w:rPr>
        <w:t>, in addition to</w:t>
      </w:r>
      <w:r w:rsidR="00A104C0">
        <w:rPr>
          <w:sz w:val="24"/>
          <w:szCs w:val="24"/>
        </w:rPr>
        <w:t xml:space="preserve"> transparency of the documents and reports associated with the annual budget cycle, related fiscal policy functions </w:t>
      </w:r>
      <w:r w:rsidR="00A104C0" w:rsidRPr="004C0D4E">
        <w:rPr>
          <w:sz w:val="24"/>
          <w:szCs w:val="24"/>
        </w:rPr>
        <w:t xml:space="preserve">with respect to public procurement, </w:t>
      </w:r>
      <w:r w:rsidR="00A104C0">
        <w:rPr>
          <w:sz w:val="24"/>
          <w:szCs w:val="24"/>
        </w:rPr>
        <w:t xml:space="preserve">public </w:t>
      </w:r>
      <w:r w:rsidR="00A104C0" w:rsidRPr="004C0D4E">
        <w:rPr>
          <w:sz w:val="24"/>
          <w:szCs w:val="24"/>
        </w:rPr>
        <w:t>asset and liability management,</w:t>
      </w:r>
      <w:r w:rsidR="00A104C0">
        <w:rPr>
          <w:sz w:val="24"/>
          <w:szCs w:val="24"/>
        </w:rPr>
        <w:t xml:space="preserve"> the</w:t>
      </w:r>
      <w:r w:rsidR="00A104C0" w:rsidRPr="004C0D4E">
        <w:rPr>
          <w:sz w:val="24"/>
          <w:szCs w:val="24"/>
        </w:rPr>
        <w:t xml:space="preserve"> delivery of public</w:t>
      </w:r>
      <w:r w:rsidR="00A104C0">
        <w:rPr>
          <w:sz w:val="24"/>
          <w:szCs w:val="24"/>
        </w:rPr>
        <w:t>ly-financed</w:t>
      </w:r>
      <w:r w:rsidR="00A104C0" w:rsidRPr="004C0D4E">
        <w:rPr>
          <w:sz w:val="24"/>
          <w:szCs w:val="24"/>
        </w:rPr>
        <w:t xml:space="preserve"> services, and public investment management.</w:t>
      </w:r>
      <w:r w:rsidR="00325581">
        <w:rPr>
          <w:sz w:val="24"/>
          <w:szCs w:val="24"/>
        </w:rPr>
        <w:t xml:space="preserve"> </w:t>
      </w:r>
    </w:p>
    <w:p w14:paraId="50AD71C1" w14:textId="131C8995" w:rsidR="00641A7A" w:rsidRPr="00641A7A" w:rsidRDefault="005113D9" w:rsidP="00641A7A">
      <w:pPr>
        <w:rPr>
          <w:sz w:val="24"/>
          <w:szCs w:val="24"/>
        </w:rPr>
      </w:pPr>
      <w:r>
        <w:rPr>
          <w:sz w:val="24"/>
          <w:szCs w:val="24"/>
        </w:rPr>
        <w:t>T</w:t>
      </w:r>
      <w:r w:rsidR="00641A7A" w:rsidRPr="00641A7A">
        <w:rPr>
          <w:sz w:val="24"/>
          <w:szCs w:val="24"/>
        </w:rPr>
        <w:t>he fiscal transparency commitments identified have then been mapped against GIFT’s ten High-Level Principles of Fiscal Transparency, Participation and Accountability</w:t>
      </w:r>
      <w:r w:rsidR="00AD0533">
        <w:rPr>
          <w:sz w:val="24"/>
          <w:szCs w:val="24"/>
        </w:rPr>
        <w:t xml:space="preserve"> (</w:t>
      </w:r>
      <w:r w:rsidR="00641A7A" w:rsidRPr="00641A7A">
        <w:rPr>
          <w:sz w:val="24"/>
          <w:szCs w:val="24"/>
        </w:rPr>
        <w:t>many commitments have been mapped to more than one High-Level Principle</w:t>
      </w:r>
      <w:r w:rsidR="00944192">
        <w:rPr>
          <w:sz w:val="24"/>
          <w:szCs w:val="24"/>
        </w:rPr>
        <w:t xml:space="preserve"> t</w:t>
      </w:r>
      <w:r w:rsidR="00641A7A" w:rsidRPr="00641A7A">
        <w:rPr>
          <w:sz w:val="24"/>
          <w:szCs w:val="24"/>
        </w:rPr>
        <w:t>o make it easier for readers to find commitments in their specific fields of interest</w:t>
      </w:r>
      <w:r w:rsidR="00AD0533">
        <w:rPr>
          <w:sz w:val="24"/>
          <w:szCs w:val="24"/>
        </w:rPr>
        <w:t>)</w:t>
      </w:r>
      <w:r w:rsidR="00641A7A" w:rsidRPr="00641A7A">
        <w:rPr>
          <w:sz w:val="24"/>
          <w:szCs w:val="24"/>
        </w:rPr>
        <w:t>.</w:t>
      </w:r>
    </w:p>
    <w:p w14:paraId="34C9A299" w14:textId="1C8B5551" w:rsidR="0035268D" w:rsidRDefault="0035268D" w:rsidP="002357E2">
      <w:pPr>
        <w:rPr>
          <w:sz w:val="24"/>
          <w:szCs w:val="24"/>
        </w:rPr>
      </w:pPr>
      <w:r w:rsidRPr="00D91331">
        <w:rPr>
          <w:sz w:val="24"/>
          <w:szCs w:val="24"/>
        </w:rPr>
        <w:t xml:space="preserve">Table </w:t>
      </w:r>
      <w:r w:rsidR="00653AD1" w:rsidRPr="00D91331">
        <w:rPr>
          <w:sz w:val="24"/>
          <w:szCs w:val="24"/>
        </w:rPr>
        <w:t>4</w:t>
      </w:r>
      <w:r w:rsidRPr="006576A0">
        <w:rPr>
          <w:b/>
          <w:sz w:val="24"/>
          <w:szCs w:val="24"/>
        </w:rPr>
        <w:t xml:space="preserve"> </w:t>
      </w:r>
      <w:r w:rsidRPr="006576A0">
        <w:rPr>
          <w:sz w:val="24"/>
          <w:szCs w:val="24"/>
        </w:rPr>
        <w:t xml:space="preserve">shows </w:t>
      </w:r>
      <w:r w:rsidR="00AA5394">
        <w:rPr>
          <w:sz w:val="24"/>
          <w:szCs w:val="24"/>
        </w:rPr>
        <w:t>the OGP commitments made by each</w:t>
      </w:r>
      <w:r w:rsidR="0090081B" w:rsidRPr="006576A0">
        <w:rPr>
          <w:sz w:val="24"/>
          <w:szCs w:val="24"/>
        </w:rPr>
        <w:t xml:space="preserve"> </w:t>
      </w:r>
      <w:r w:rsidR="00AA5394">
        <w:rPr>
          <w:sz w:val="24"/>
          <w:szCs w:val="24"/>
        </w:rPr>
        <w:t xml:space="preserve">GIFT Steward, mapped </w:t>
      </w:r>
      <w:r w:rsidRPr="006576A0">
        <w:rPr>
          <w:sz w:val="24"/>
          <w:szCs w:val="24"/>
        </w:rPr>
        <w:t xml:space="preserve">against </w:t>
      </w:r>
      <w:r w:rsidR="0090081B" w:rsidRPr="006576A0">
        <w:rPr>
          <w:sz w:val="24"/>
          <w:szCs w:val="24"/>
        </w:rPr>
        <w:t xml:space="preserve">each of </w:t>
      </w:r>
      <w:r w:rsidRPr="006576A0">
        <w:rPr>
          <w:sz w:val="24"/>
          <w:szCs w:val="24"/>
        </w:rPr>
        <w:t xml:space="preserve">the </w:t>
      </w:r>
      <w:r w:rsidR="0090081B" w:rsidRPr="006576A0">
        <w:rPr>
          <w:sz w:val="24"/>
          <w:szCs w:val="24"/>
        </w:rPr>
        <w:t xml:space="preserve">ten </w:t>
      </w:r>
      <w:r w:rsidRPr="006576A0">
        <w:rPr>
          <w:sz w:val="24"/>
          <w:szCs w:val="24"/>
        </w:rPr>
        <w:t xml:space="preserve">GIFT </w:t>
      </w:r>
      <w:r w:rsidR="0010188E">
        <w:rPr>
          <w:sz w:val="24"/>
          <w:szCs w:val="24"/>
        </w:rPr>
        <w:t>High-Level</w:t>
      </w:r>
      <w:r w:rsidRPr="006576A0">
        <w:rPr>
          <w:sz w:val="24"/>
          <w:szCs w:val="24"/>
        </w:rPr>
        <w:t xml:space="preserve"> Principles</w:t>
      </w:r>
      <w:r w:rsidR="00472179" w:rsidRPr="006576A0">
        <w:rPr>
          <w:sz w:val="24"/>
          <w:szCs w:val="24"/>
        </w:rPr>
        <w:t xml:space="preserve"> (HLPs)</w:t>
      </w:r>
      <w:r w:rsidRPr="006576A0">
        <w:rPr>
          <w:sz w:val="24"/>
          <w:szCs w:val="24"/>
        </w:rPr>
        <w:t>.</w:t>
      </w:r>
      <w:r w:rsidR="00472179" w:rsidRPr="006576A0">
        <w:rPr>
          <w:sz w:val="24"/>
          <w:szCs w:val="24"/>
        </w:rPr>
        <w:t xml:space="preserve"> </w:t>
      </w:r>
      <w:r w:rsidR="002B1D5C">
        <w:rPr>
          <w:sz w:val="24"/>
          <w:szCs w:val="24"/>
        </w:rPr>
        <w:t>Note that, b</w:t>
      </w:r>
      <w:r w:rsidR="00472179" w:rsidRPr="006576A0">
        <w:rPr>
          <w:sz w:val="24"/>
          <w:szCs w:val="24"/>
        </w:rPr>
        <w:t xml:space="preserve">ecause of the scope of two </w:t>
      </w:r>
      <w:r w:rsidR="002B1D5C">
        <w:rPr>
          <w:sz w:val="24"/>
          <w:szCs w:val="24"/>
        </w:rPr>
        <w:t>of the Principles</w:t>
      </w:r>
      <w:r w:rsidR="00472179" w:rsidRPr="006576A0">
        <w:rPr>
          <w:sz w:val="24"/>
          <w:szCs w:val="24"/>
        </w:rPr>
        <w:t xml:space="preserve"> (HLPs 3 and 4)</w:t>
      </w:r>
      <w:r w:rsidR="00FE674F">
        <w:rPr>
          <w:sz w:val="24"/>
          <w:szCs w:val="24"/>
        </w:rPr>
        <w:t xml:space="preserve"> and the large number of commitments</w:t>
      </w:r>
      <w:r w:rsidR="00472179" w:rsidRPr="006576A0">
        <w:rPr>
          <w:sz w:val="24"/>
          <w:szCs w:val="24"/>
        </w:rPr>
        <w:t xml:space="preserve">, they have been disaggregated to give a more fine-grained indication of what the commitments cover. </w:t>
      </w:r>
    </w:p>
    <w:p w14:paraId="431BC200" w14:textId="77777777" w:rsidR="00733E8E" w:rsidRDefault="00733E8E" w:rsidP="00733E8E">
      <w:pPr>
        <w:tabs>
          <w:tab w:val="left" w:pos="2260"/>
        </w:tabs>
        <w:rPr>
          <w:sz w:val="24"/>
          <w:szCs w:val="24"/>
        </w:rPr>
      </w:pPr>
      <w:r>
        <w:rPr>
          <w:sz w:val="24"/>
          <w:szCs w:val="24"/>
        </w:rPr>
        <w:t>Table 4 reveals the following:</w:t>
      </w:r>
    </w:p>
    <w:p w14:paraId="1AEE430F" w14:textId="77777777" w:rsidR="00733E8E" w:rsidRPr="00DE53D7" w:rsidRDefault="00733E8E" w:rsidP="00733E8E">
      <w:pPr>
        <w:pStyle w:val="ListParagraph"/>
        <w:numPr>
          <w:ilvl w:val="0"/>
          <w:numId w:val="26"/>
        </w:numPr>
        <w:tabs>
          <w:tab w:val="left" w:pos="2260"/>
        </w:tabs>
        <w:rPr>
          <w:sz w:val="24"/>
          <w:szCs w:val="24"/>
        </w:rPr>
      </w:pPr>
      <w:r w:rsidRPr="00DE53D7">
        <w:rPr>
          <w:sz w:val="24"/>
          <w:szCs w:val="24"/>
        </w:rPr>
        <w:t>Most of the commitments are related to HLP 3 (disclosure of past, present and forecast fiscal information), HLP 4 (transparency of outputs, mainly of public services), and HLP 10 (direct public participation in fiscal policy design and implementation). The last two areas reflect two of GIFT’s priority areas of focus.</w:t>
      </w:r>
    </w:p>
    <w:p w14:paraId="418F4DBF" w14:textId="767D63A8" w:rsidR="00733E8E" w:rsidRPr="007C53B4" w:rsidRDefault="00733E8E" w:rsidP="00733E8E">
      <w:pPr>
        <w:pStyle w:val="ListParagraph"/>
        <w:numPr>
          <w:ilvl w:val="0"/>
          <w:numId w:val="12"/>
        </w:numPr>
        <w:tabs>
          <w:tab w:val="left" w:pos="2260"/>
        </w:tabs>
        <w:rPr>
          <w:sz w:val="24"/>
          <w:szCs w:val="24"/>
        </w:rPr>
      </w:pPr>
      <w:r w:rsidRPr="007C53B4">
        <w:rPr>
          <w:sz w:val="24"/>
          <w:szCs w:val="24"/>
        </w:rPr>
        <w:t>The</w:t>
      </w:r>
      <w:r w:rsidR="00AD0533">
        <w:rPr>
          <w:sz w:val="24"/>
          <w:szCs w:val="24"/>
        </w:rPr>
        <w:t>re are no</w:t>
      </w:r>
      <w:r w:rsidRPr="007C53B4">
        <w:rPr>
          <w:sz w:val="24"/>
          <w:szCs w:val="24"/>
        </w:rPr>
        <w:t xml:space="preserve"> commitments </w:t>
      </w:r>
      <w:r w:rsidR="00AD0533">
        <w:rPr>
          <w:sz w:val="24"/>
          <w:szCs w:val="24"/>
        </w:rPr>
        <w:t xml:space="preserve">relating to </w:t>
      </w:r>
      <w:r>
        <w:rPr>
          <w:sz w:val="24"/>
          <w:szCs w:val="24"/>
        </w:rPr>
        <w:t xml:space="preserve">a citizen right to fiscal information (HLP 1), </w:t>
      </w:r>
      <w:r w:rsidR="00AD0533">
        <w:rPr>
          <w:sz w:val="24"/>
          <w:szCs w:val="24"/>
        </w:rPr>
        <w:t xml:space="preserve">or </w:t>
      </w:r>
      <w:r w:rsidRPr="007C53B4">
        <w:rPr>
          <w:sz w:val="24"/>
          <w:szCs w:val="24"/>
        </w:rPr>
        <w:t xml:space="preserve">transparency of macro-fiscal policy (HLP 3), </w:t>
      </w:r>
      <w:r w:rsidR="00AD0533">
        <w:rPr>
          <w:sz w:val="24"/>
          <w:szCs w:val="24"/>
        </w:rPr>
        <w:t xml:space="preserve">while there are few commitments relating to </w:t>
      </w:r>
      <w:r w:rsidRPr="007C53B4">
        <w:rPr>
          <w:sz w:val="24"/>
          <w:szCs w:val="24"/>
        </w:rPr>
        <w:t>legislative oversight (HLP 8), and independent audit (HLP 9). These are some of the key areas of fiscal transparency and accountability.</w:t>
      </w:r>
      <w:r>
        <w:rPr>
          <w:sz w:val="24"/>
          <w:szCs w:val="24"/>
        </w:rPr>
        <w:t xml:space="preserve"> The reasons are likely to be to do with the fact that legislatures and SAIs are not generally directly engaged in the OGP process within member countries.</w:t>
      </w:r>
    </w:p>
    <w:p w14:paraId="76AA53E6" w14:textId="39CD8D54" w:rsidR="00733E8E" w:rsidRPr="007C53B4" w:rsidRDefault="00733E8E" w:rsidP="00733E8E">
      <w:pPr>
        <w:rPr>
          <w:sz w:val="24"/>
          <w:szCs w:val="24"/>
        </w:rPr>
      </w:pPr>
      <w:r>
        <w:rPr>
          <w:sz w:val="24"/>
          <w:szCs w:val="24"/>
        </w:rPr>
        <w:t xml:space="preserve">Annex 1 </w:t>
      </w:r>
      <w:r w:rsidRPr="00253D8C">
        <w:rPr>
          <w:sz w:val="24"/>
          <w:szCs w:val="24"/>
        </w:rPr>
        <w:t xml:space="preserve">starting on page </w:t>
      </w:r>
      <w:r>
        <w:rPr>
          <w:sz w:val="24"/>
          <w:szCs w:val="24"/>
        </w:rPr>
        <w:t>1</w:t>
      </w:r>
      <w:r w:rsidR="00EA7718">
        <w:rPr>
          <w:sz w:val="24"/>
          <w:szCs w:val="24"/>
        </w:rPr>
        <w:t>5</w:t>
      </w:r>
      <w:r w:rsidRPr="007C53B4">
        <w:rPr>
          <w:sz w:val="24"/>
          <w:szCs w:val="24"/>
        </w:rPr>
        <w:t xml:space="preserve"> displays the </w:t>
      </w:r>
      <w:r w:rsidRPr="004E3513">
        <w:rPr>
          <w:sz w:val="24"/>
          <w:szCs w:val="24"/>
        </w:rPr>
        <w:t>commitment number</w:t>
      </w:r>
      <w:r w:rsidRPr="007C53B4">
        <w:rPr>
          <w:sz w:val="24"/>
          <w:szCs w:val="24"/>
        </w:rPr>
        <w:t xml:space="preserve"> </w:t>
      </w:r>
      <w:r>
        <w:rPr>
          <w:sz w:val="24"/>
          <w:szCs w:val="24"/>
        </w:rPr>
        <w:t xml:space="preserve">(for ease of reference to the original Country Action Plan), </w:t>
      </w:r>
      <w:r w:rsidRPr="007C53B4">
        <w:rPr>
          <w:sz w:val="24"/>
          <w:szCs w:val="24"/>
        </w:rPr>
        <w:t xml:space="preserve">together with a short description of each activity </w:t>
      </w:r>
      <w:r>
        <w:rPr>
          <w:sz w:val="24"/>
          <w:szCs w:val="24"/>
        </w:rPr>
        <w:t xml:space="preserve">taken from the </w:t>
      </w:r>
      <w:r w:rsidRPr="007C53B4">
        <w:rPr>
          <w:sz w:val="24"/>
          <w:szCs w:val="24"/>
        </w:rPr>
        <w:t>OGP</w:t>
      </w:r>
      <w:r>
        <w:rPr>
          <w:sz w:val="24"/>
          <w:szCs w:val="24"/>
        </w:rPr>
        <w:t xml:space="preserve"> web site as at mid-September, </w:t>
      </w:r>
      <w:r w:rsidRPr="007C53B4">
        <w:rPr>
          <w:sz w:val="24"/>
          <w:szCs w:val="24"/>
        </w:rPr>
        <w:t xml:space="preserve">grouped first under the relevant GIFT High-Level Principle.  </w:t>
      </w:r>
      <w:r w:rsidRPr="007C53B4">
        <w:rPr>
          <w:sz w:val="24"/>
          <w:szCs w:val="24"/>
        </w:rPr>
        <w:br/>
      </w:r>
      <w:r>
        <w:rPr>
          <w:sz w:val="24"/>
          <w:szCs w:val="24"/>
        </w:rPr>
        <w:br/>
      </w:r>
      <w:r w:rsidRPr="007C53B4">
        <w:rPr>
          <w:sz w:val="24"/>
          <w:szCs w:val="24"/>
        </w:rPr>
        <w:t xml:space="preserve">There are </w:t>
      </w:r>
      <w:r w:rsidR="00D018FB">
        <w:rPr>
          <w:sz w:val="24"/>
          <w:szCs w:val="24"/>
        </w:rPr>
        <w:t>12</w:t>
      </w:r>
      <w:r w:rsidRPr="007C53B4">
        <w:rPr>
          <w:sz w:val="24"/>
          <w:szCs w:val="24"/>
        </w:rPr>
        <w:t xml:space="preserve"> </w:t>
      </w:r>
      <w:r w:rsidR="00D018FB" w:rsidRPr="00D018FB">
        <w:rPr>
          <w:sz w:val="24"/>
          <w:szCs w:val="24"/>
        </w:rPr>
        <w:t xml:space="preserve">procurement-related </w:t>
      </w:r>
      <w:r w:rsidRPr="007C53B4">
        <w:rPr>
          <w:sz w:val="24"/>
          <w:szCs w:val="24"/>
        </w:rPr>
        <w:t xml:space="preserve">commitments that involve engagement of the private sector. </w:t>
      </w:r>
    </w:p>
    <w:p w14:paraId="7F618A00" w14:textId="729FBE40" w:rsidR="00733E8E" w:rsidRDefault="00733E8E" w:rsidP="00733E8E">
      <w:pPr>
        <w:rPr>
          <w:sz w:val="24"/>
          <w:szCs w:val="24"/>
        </w:rPr>
      </w:pPr>
      <w:bookmarkStart w:id="11" w:name="_Hlk525743023"/>
      <w:r w:rsidRPr="007C53B4">
        <w:rPr>
          <w:sz w:val="24"/>
          <w:szCs w:val="24"/>
        </w:rPr>
        <w:t xml:space="preserve">Approaches that attempt to institutionalise reforms include the </w:t>
      </w:r>
      <w:r w:rsidR="00D018FB">
        <w:rPr>
          <w:sz w:val="24"/>
          <w:szCs w:val="24"/>
        </w:rPr>
        <w:t>5</w:t>
      </w:r>
      <w:r w:rsidRPr="007C53B4">
        <w:rPr>
          <w:sz w:val="24"/>
          <w:szCs w:val="24"/>
        </w:rPr>
        <w:t xml:space="preserve"> commitments under HLP 5 (the rule of law in public financial management), </w:t>
      </w:r>
      <w:r>
        <w:rPr>
          <w:sz w:val="24"/>
          <w:szCs w:val="24"/>
        </w:rPr>
        <w:t xml:space="preserve">and </w:t>
      </w:r>
      <w:r w:rsidR="000A192C">
        <w:rPr>
          <w:sz w:val="24"/>
          <w:szCs w:val="24"/>
        </w:rPr>
        <w:t>13</w:t>
      </w:r>
      <w:r>
        <w:rPr>
          <w:sz w:val="24"/>
          <w:szCs w:val="24"/>
        </w:rPr>
        <w:t xml:space="preserve"> commitments that refer to </w:t>
      </w:r>
      <w:r>
        <w:rPr>
          <w:sz w:val="24"/>
          <w:szCs w:val="24"/>
        </w:rPr>
        <w:lastRenderedPageBreak/>
        <w:t xml:space="preserve">adhering to </w:t>
      </w:r>
      <w:r w:rsidR="000A192C">
        <w:rPr>
          <w:sz w:val="24"/>
          <w:szCs w:val="24"/>
        </w:rPr>
        <w:t xml:space="preserve">specific </w:t>
      </w:r>
      <w:r>
        <w:rPr>
          <w:sz w:val="24"/>
          <w:szCs w:val="24"/>
        </w:rPr>
        <w:t>international fiscal transparency standards (e.g. EITI, Open Contracting</w:t>
      </w:r>
      <w:r w:rsidR="00D018FB">
        <w:rPr>
          <w:sz w:val="24"/>
          <w:szCs w:val="24"/>
        </w:rPr>
        <w:t xml:space="preserve">, </w:t>
      </w:r>
      <w:proofErr w:type="spellStart"/>
      <w:r w:rsidR="00D018FB">
        <w:rPr>
          <w:sz w:val="24"/>
          <w:szCs w:val="24"/>
        </w:rPr>
        <w:t>CoST</w:t>
      </w:r>
      <w:proofErr w:type="spellEnd"/>
      <w:r w:rsidR="000A192C">
        <w:rPr>
          <w:sz w:val="24"/>
          <w:szCs w:val="24"/>
        </w:rPr>
        <w:t>,</w:t>
      </w:r>
      <w:r w:rsidR="000A192C" w:rsidRPr="000A192C">
        <w:t xml:space="preserve"> </w:t>
      </w:r>
      <w:r w:rsidR="000A192C" w:rsidRPr="000A192C">
        <w:rPr>
          <w:sz w:val="24"/>
          <w:szCs w:val="24"/>
        </w:rPr>
        <w:t>and the OECD Global Tax Transparency Forum</w:t>
      </w:r>
      <w:r>
        <w:rPr>
          <w:sz w:val="24"/>
          <w:szCs w:val="24"/>
        </w:rPr>
        <w:t>)</w:t>
      </w:r>
      <w:r w:rsidRPr="007C53B4">
        <w:rPr>
          <w:sz w:val="24"/>
          <w:szCs w:val="24"/>
        </w:rPr>
        <w:t xml:space="preserve">. </w:t>
      </w:r>
    </w:p>
    <w:bookmarkEnd w:id="11"/>
    <w:p w14:paraId="3D2B76C9" w14:textId="18ECB017" w:rsidR="00733E8E" w:rsidRDefault="00733E8E" w:rsidP="0025534A">
      <w:pPr>
        <w:rPr>
          <w:sz w:val="24"/>
          <w:szCs w:val="24"/>
        </w:rPr>
      </w:pPr>
      <w:r w:rsidRPr="0025534A">
        <w:rPr>
          <w:sz w:val="24"/>
          <w:szCs w:val="24"/>
        </w:rPr>
        <w:t xml:space="preserve">In addition, it is interesting to note that there are some </w:t>
      </w:r>
      <w:r w:rsidR="000A192C">
        <w:rPr>
          <w:sz w:val="24"/>
          <w:szCs w:val="24"/>
        </w:rPr>
        <w:t xml:space="preserve">general </w:t>
      </w:r>
      <w:r w:rsidRPr="0025534A">
        <w:rPr>
          <w:sz w:val="24"/>
          <w:szCs w:val="24"/>
        </w:rPr>
        <w:t>references to improving country performance on international standards or assessment instruments e.g. the Open Budget Index, the IMF’s Fiscal Transparency Code</w:t>
      </w:r>
      <w:r w:rsidR="000A192C">
        <w:rPr>
          <w:sz w:val="24"/>
          <w:szCs w:val="24"/>
        </w:rPr>
        <w:t>.</w:t>
      </w:r>
      <w:r w:rsidRPr="0025534A">
        <w:rPr>
          <w:sz w:val="24"/>
          <w:szCs w:val="24"/>
        </w:rPr>
        <w:t xml:space="preserve"> And there is a reference to designing an initiative to conform with GIFT’s Principles of Public Participation in Fiscal Policy.</w:t>
      </w:r>
      <w:r w:rsidR="000A192C">
        <w:rPr>
          <w:rStyle w:val="FootnoteReference"/>
          <w:sz w:val="24"/>
          <w:szCs w:val="24"/>
        </w:rPr>
        <w:footnoteReference w:id="6"/>
      </w:r>
    </w:p>
    <w:p w14:paraId="7684D015" w14:textId="77777777" w:rsidR="008C74AE" w:rsidRPr="00733E8E" w:rsidRDefault="008C74AE" w:rsidP="008C74AE">
      <w:pPr>
        <w:tabs>
          <w:tab w:val="left" w:pos="2260"/>
        </w:tabs>
        <w:rPr>
          <w:sz w:val="24"/>
          <w:szCs w:val="24"/>
        </w:rPr>
      </w:pPr>
      <w:r w:rsidRPr="00253D8C">
        <w:rPr>
          <w:sz w:val="24"/>
          <w:szCs w:val="24"/>
        </w:rPr>
        <w:t>It is interesting to note that there are numerous commitments that involve either improving public services, or increasing citizen engagement in fiscal policy, or both</w:t>
      </w:r>
      <w:r>
        <w:rPr>
          <w:sz w:val="24"/>
          <w:szCs w:val="24"/>
        </w:rPr>
        <w:t xml:space="preserve"> – reflecting </w:t>
      </w:r>
      <w:r w:rsidRPr="00733E8E">
        <w:rPr>
          <w:sz w:val="24"/>
          <w:szCs w:val="24"/>
        </w:rPr>
        <w:t>GIFT’s strategy of ‘putting the citizen at the centre of fiscal openness.’</w:t>
      </w:r>
    </w:p>
    <w:p w14:paraId="602F9E4D" w14:textId="77777777" w:rsidR="008C74AE" w:rsidRDefault="008C74AE" w:rsidP="008C74AE">
      <w:pPr>
        <w:tabs>
          <w:tab w:val="left" w:pos="2260"/>
        </w:tabs>
        <w:rPr>
          <w:sz w:val="24"/>
          <w:szCs w:val="24"/>
        </w:rPr>
      </w:pPr>
      <w:r>
        <w:rPr>
          <w:sz w:val="24"/>
          <w:szCs w:val="24"/>
        </w:rPr>
        <w:t xml:space="preserve">Some of these relate to transparency and accountability at the level of the individual service delivery unit e.g. school or health centre – the point of direct contact between citizens and state. </w:t>
      </w:r>
    </w:p>
    <w:p w14:paraId="1DD8E6BD" w14:textId="77777777" w:rsidR="008C74AE" w:rsidRDefault="008C74AE" w:rsidP="008C74AE">
      <w:pPr>
        <w:tabs>
          <w:tab w:val="left" w:pos="2260"/>
        </w:tabs>
        <w:rPr>
          <w:sz w:val="24"/>
          <w:szCs w:val="24"/>
        </w:rPr>
      </w:pPr>
      <w:r>
        <w:rPr>
          <w:sz w:val="24"/>
          <w:szCs w:val="24"/>
        </w:rPr>
        <w:t>For example:</w:t>
      </w:r>
    </w:p>
    <w:p w14:paraId="25189051" w14:textId="77777777" w:rsidR="008C74AE" w:rsidRDefault="008C74AE" w:rsidP="008C74AE">
      <w:pPr>
        <w:pStyle w:val="ListParagraph"/>
        <w:numPr>
          <w:ilvl w:val="0"/>
          <w:numId w:val="15"/>
        </w:numPr>
        <w:tabs>
          <w:tab w:val="left" w:pos="2260"/>
        </w:tabs>
        <w:rPr>
          <w:sz w:val="24"/>
          <w:szCs w:val="24"/>
        </w:rPr>
      </w:pPr>
      <w:r w:rsidRPr="00253D8C">
        <w:rPr>
          <w:sz w:val="24"/>
          <w:szCs w:val="24"/>
        </w:rPr>
        <w:t>Uruguay</w:t>
      </w:r>
      <w:r>
        <w:rPr>
          <w:sz w:val="24"/>
          <w:szCs w:val="24"/>
        </w:rPr>
        <w:t>:</w:t>
      </w:r>
      <w:r w:rsidRPr="00253D8C">
        <w:rPr>
          <w:sz w:val="24"/>
          <w:szCs w:val="24"/>
        </w:rPr>
        <w:t xml:space="preserve"> </w:t>
      </w:r>
      <w:r>
        <w:rPr>
          <w:sz w:val="24"/>
          <w:szCs w:val="24"/>
        </w:rPr>
        <w:t xml:space="preserve">commitment 6: </w:t>
      </w:r>
      <w:r w:rsidRPr="00253D8C">
        <w:rPr>
          <w:sz w:val="24"/>
          <w:szCs w:val="24"/>
        </w:rPr>
        <w:t xml:space="preserve">school maintenance </w:t>
      </w:r>
      <w:r>
        <w:rPr>
          <w:sz w:val="24"/>
          <w:szCs w:val="24"/>
        </w:rPr>
        <w:t>p</w:t>
      </w:r>
      <w:r w:rsidRPr="00253D8C">
        <w:rPr>
          <w:sz w:val="24"/>
          <w:szCs w:val="24"/>
        </w:rPr>
        <w:t>lans will be carried out with the participation of the school community (teachers, students, parents and neighbo</w:t>
      </w:r>
      <w:r>
        <w:rPr>
          <w:sz w:val="24"/>
          <w:szCs w:val="24"/>
        </w:rPr>
        <w:t>u</w:t>
      </w:r>
      <w:r w:rsidRPr="00253D8C">
        <w:rPr>
          <w:sz w:val="24"/>
          <w:szCs w:val="24"/>
        </w:rPr>
        <w:t>rs</w:t>
      </w:r>
      <w:r>
        <w:rPr>
          <w:sz w:val="24"/>
          <w:szCs w:val="24"/>
        </w:rPr>
        <w:t>).</w:t>
      </w:r>
    </w:p>
    <w:p w14:paraId="131F5308" w14:textId="77777777" w:rsidR="008C74AE" w:rsidRDefault="008C74AE" w:rsidP="008C74AE">
      <w:pPr>
        <w:pStyle w:val="ListParagraph"/>
        <w:numPr>
          <w:ilvl w:val="0"/>
          <w:numId w:val="15"/>
        </w:numPr>
        <w:tabs>
          <w:tab w:val="left" w:pos="2260"/>
        </w:tabs>
        <w:rPr>
          <w:sz w:val="24"/>
          <w:szCs w:val="24"/>
        </w:rPr>
      </w:pPr>
      <w:r w:rsidRPr="00253D8C">
        <w:rPr>
          <w:sz w:val="24"/>
          <w:szCs w:val="24"/>
        </w:rPr>
        <w:t xml:space="preserve">El Salvador: commitment 15: Promote social control and access to public information concerning the budget and its implementation in the field of education at the national level, allocations made by department and municipalities to the </w:t>
      </w:r>
      <w:r>
        <w:rPr>
          <w:sz w:val="24"/>
          <w:szCs w:val="24"/>
        </w:rPr>
        <w:t>s</w:t>
      </w:r>
      <w:r w:rsidRPr="00253D8C">
        <w:rPr>
          <w:sz w:val="24"/>
          <w:szCs w:val="24"/>
        </w:rPr>
        <w:t>chools. All this will make accountability exercises much more participatory and not subject to the discretion of the Directors or members of the CDE. An element in the fight against corruptio</w:t>
      </w:r>
      <w:r>
        <w:rPr>
          <w:sz w:val="24"/>
          <w:szCs w:val="24"/>
        </w:rPr>
        <w:t>n.</w:t>
      </w:r>
    </w:p>
    <w:p w14:paraId="7467F5BA" w14:textId="44ED9939" w:rsidR="008C74AE" w:rsidRPr="00EA7718" w:rsidRDefault="008C74AE" w:rsidP="00CF13AA">
      <w:pPr>
        <w:pStyle w:val="ListParagraph"/>
        <w:numPr>
          <w:ilvl w:val="0"/>
          <w:numId w:val="15"/>
        </w:numPr>
        <w:tabs>
          <w:tab w:val="left" w:pos="1397"/>
          <w:tab w:val="left" w:pos="2260"/>
        </w:tabs>
        <w:rPr>
          <w:b/>
          <w:sz w:val="28"/>
          <w:szCs w:val="28"/>
        </w:rPr>
      </w:pPr>
      <w:r w:rsidRPr="00EA7718">
        <w:rPr>
          <w:sz w:val="24"/>
          <w:szCs w:val="24"/>
        </w:rPr>
        <w:t>USA: Open311 is a shared open platform that will help reduce the burden for citizens navigating between local and federal government services and report problems.</w:t>
      </w:r>
    </w:p>
    <w:p w14:paraId="779E6021" w14:textId="77777777" w:rsidR="008C74AE" w:rsidRDefault="008C74AE" w:rsidP="00FE674F">
      <w:pPr>
        <w:tabs>
          <w:tab w:val="left" w:pos="1397"/>
        </w:tabs>
        <w:rPr>
          <w:b/>
          <w:sz w:val="28"/>
          <w:szCs w:val="28"/>
        </w:rPr>
      </w:pPr>
    </w:p>
    <w:p w14:paraId="10D8A97B" w14:textId="77777777" w:rsidR="008C74AE" w:rsidRDefault="008C74AE" w:rsidP="00FE674F">
      <w:pPr>
        <w:tabs>
          <w:tab w:val="left" w:pos="1397"/>
        </w:tabs>
        <w:rPr>
          <w:b/>
          <w:sz w:val="28"/>
          <w:szCs w:val="28"/>
        </w:rPr>
      </w:pPr>
    </w:p>
    <w:p w14:paraId="50C58AFA" w14:textId="77777777" w:rsidR="008C74AE" w:rsidRDefault="008C74AE" w:rsidP="00FE674F">
      <w:pPr>
        <w:tabs>
          <w:tab w:val="left" w:pos="1397"/>
        </w:tabs>
        <w:rPr>
          <w:b/>
          <w:sz w:val="28"/>
          <w:szCs w:val="28"/>
        </w:rPr>
      </w:pPr>
    </w:p>
    <w:p w14:paraId="2C2EB03B" w14:textId="77777777" w:rsidR="008C74AE" w:rsidRDefault="008C74AE" w:rsidP="00FE674F">
      <w:pPr>
        <w:tabs>
          <w:tab w:val="left" w:pos="1397"/>
        </w:tabs>
        <w:rPr>
          <w:b/>
          <w:sz w:val="28"/>
          <w:szCs w:val="28"/>
        </w:rPr>
      </w:pPr>
    </w:p>
    <w:p w14:paraId="2294AF14" w14:textId="77777777" w:rsidR="008C74AE" w:rsidRDefault="008C74AE" w:rsidP="00FE674F">
      <w:pPr>
        <w:tabs>
          <w:tab w:val="left" w:pos="1397"/>
        </w:tabs>
        <w:rPr>
          <w:b/>
          <w:sz w:val="28"/>
          <w:szCs w:val="28"/>
        </w:rPr>
      </w:pPr>
    </w:p>
    <w:p w14:paraId="2262503A" w14:textId="5093A7F6" w:rsidR="009662F1" w:rsidRPr="00FE674F" w:rsidRDefault="008C74AE" w:rsidP="00FE674F">
      <w:pPr>
        <w:tabs>
          <w:tab w:val="left" w:pos="1397"/>
        </w:tabs>
        <w:sectPr w:rsidR="009662F1" w:rsidRPr="00FE674F" w:rsidSect="00FE674F">
          <w:headerReference w:type="default" r:id="rId12"/>
          <w:footerReference w:type="default" r:id="rId13"/>
          <w:pgSz w:w="11906" w:h="16838"/>
          <w:pgMar w:top="1440" w:right="1440" w:bottom="1440" w:left="1440" w:header="708" w:footer="708" w:gutter="0"/>
          <w:cols w:space="708"/>
          <w:docGrid w:linePitch="360"/>
        </w:sectPr>
      </w:pPr>
      <w:r>
        <w:rPr>
          <w:b/>
          <w:sz w:val="28"/>
          <w:szCs w:val="28"/>
        </w:rPr>
        <w:br/>
      </w:r>
    </w:p>
    <w:tbl>
      <w:tblPr>
        <w:tblStyle w:val="TableGrid"/>
        <w:tblpPr w:leftFromText="180" w:rightFromText="180" w:vertAnchor="text" w:horzAnchor="page" w:tblpX="771" w:tblpY="584"/>
        <w:tblW w:w="15036" w:type="dxa"/>
        <w:tblLook w:val="04A0" w:firstRow="1" w:lastRow="0" w:firstColumn="1" w:lastColumn="0" w:noHBand="0" w:noVBand="1"/>
      </w:tblPr>
      <w:tblGrid>
        <w:gridCol w:w="3243"/>
        <w:gridCol w:w="10267"/>
        <w:gridCol w:w="805"/>
        <w:gridCol w:w="721"/>
      </w:tblGrid>
      <w:tr w:rsidR="008C74AE" w14:paraId="373AF436" w14:textId="77777777" w:rsidTr="00CF13AA">
        <w:trPr>
          <w:tblHeader/>
        </w:trPr>
        <w:tc>
          <w:tcPr>
            <w:tcW w:w="15036" w:type="dxa"/>
            <w:gridSpan w:val="4"/>
          </w:tcPr>
          <w:p w14:paraId="6570E62B" w14:textId="6059C230" w:rsidR="008C74AE" w:rsidRPr="008231B2" w:rsidRDefault="008C74AE" w:rsidP="00AD0533">
            <w:pPr>
              <w:jc w:val="both"/>
              <w:rPr>
                <w:b/>
              </w:rPr>
            </w:pPr>
            <w:r w:rsidRPr="00BA5EAF">
              <w:rPr>
                <w:b/>
                <w:sz w:val="28"/>
                <w:szCs w:val="28"/>
              </w:rPr>
              <w:lastRenderedPageBreak/>
              <w:t xml:space="preserve">Table </w:t>
            </w:r>
            <w:r>
              <w:rPr>
                <w:b/>
                <w:sz w:val="28"/>
                <w:szCs w:val="28"/>
              </w:rPr>
              <w:t>4</w:t>
            </w:r>
            <w:r w:rsidRPr="00BA5EAF">
              <w:rPr>
                <w:b/>
                <w:sz w:val="28"/>
                <w:szCs w:val="28"/>
              </w:rPr>
              <w:t xml:space="preserve">: Pattern of </w:t>
            </w:r>
            <w:r>
              <w:rPr>
                <w:b/>
                <w:sz w:val="28"/>
                <w:szCs w:val="28"/>
              </w:rPr>
              <w:t xml:space="preserve">GIFT Stewards’ OGP </w:t>
            </w:r>
            <w:r w:rsidRPr="00BA5EAF">
              <w:rPr>
                <w:b/>
                <w:sz w:val="28"/>
                <w:szCs w:val="28"/>
              </w:rPr>
              <w:t>Commitments Against GIFT High</w:t>
            </w:r>
            <w:r>
              <w:rPr>
                <w:b/>
                <w:sz w:val="28"/>
                <w:szCs w:val="28"/>
              </w:rPr>
              <w:t>-</w:t>
            </w:r>
            <w:r w:rsidRPr="00BA5EAF">
              <w:rPr>
                <w:b/>
                <w:sz w:val="28"/>
                <w:szCs w:val="28"/>
              </w:rPr>
              <w:t>Level Principles</w:t>
            </w:r>
          </w:p>
        </w:tc>
      </w:tr>
      <w:tr w:rsidR="004E40A0" w14:paraId="48114B56" w14:textId="77777777" w:rsidTr="0025534A">
        <w:trPr>
          <w:tblHeader/>
        </w:trPr>
        <w:tc>
          <w:tcPr>
            <w:tcW w:w="3243" w:type="dxa"/>
          </w:tcPr>
          <w:p w14:paraId="578AD9DC" w14:textId="43D562FD" w:rsidR="004E40A0" w:rsidRPr="008231B2" w:rsidRDefault="004E40A0" w:rsidP="00AD0533">
            <w:pPr>
              <w:jc w:val="center"/>
              <w:rPr>
                <w:b/>
              </w:rPr>
            </w:pPr>
            <w:r w:rsidRPr="008231B2">
              <w:rPr>
                <w:b/>
              </w:rPr>
              <w:t xml:space="preserve">GIFT </w:t>
            </w:r>
            <w:r>
              <w:rPr>
                <w:b/>
              </w:rPr>
              <w:t>High-Level</w:t>
            </w:r>
            <w:r w:rsidRPr="008231B2">
              <w:rPr>
                <w:b/>
              </w:rPr>
              <w:t xml:space="preserve"> Principle</w:t>
            </w:r>
          </w:p>
        </w:tc>
        <w:tc>
          <w:tcPr>
            <w:tcW w:w="10267" w:type="dxa"/>
          </w:tcPr>
          <w:p w14:paraId="5A884491" w14:textId="4E1D5F02" w:rsidR="004E40A0" w:rsidRPr="008231B2" w:rsidRDefault="004E40A0" w:rsidP="00AD0533">
            <w:pPr>
              <w:jc w:val="both"/>
              <w:rPr>
                <w:b/>
              </w:rPr>
            </w:pPr>
            <w:r w:rsidRPr="008231B2">
              <w:rPr>
                <w:b/>
              </w:rPr>
              <w:t>Countries making related OGP commitments</w:t>
            </w:r>
          </w:p>
        </w:tc>
        <w:tc>
          <w:tcPr>
            <w:tcW w:w="1526" w:type="dxa"/>
            <w:gridSpan w:val="2"/>
          </w:tcPr>
          <w:p w14:paraId="70B76E59" w14:textId="711F5838" w:rsidR="004E40A0" w:rsidRPr="008231B2" w:rsidRDefault="004E40A0" w:rsidP="00AD0533">
            <w:pPr>
              <w:jc w:val="both"/>
            </w:pPr>
            <w:r w:rsidRPr="008231B2">
              <w:rPr>
                <w:b/>
              </w:rPr>
              <w:t>Number of commitments</w:t>
            </w:r>
          </w:p>
        </w:tc>
      </w:tr>
      <w:tr w:rsidR="004E40A0" w14:paraId="17EF14B5" w14:textId="77777777" w:rsidTr="0025534A">
        <w:tc>
          <w:tcPr>
            <w:tcW w:w="3243" w:type="dxa"/>
          </w:tcPr>
          <w:p w14:paraId="5A83F796" w14:textId="77777777" w:rsidR="004E40A0" w:rsidRPr="008231B2" w:rsidRDefault="004E40A0" w:rsidP="00AD0533">
            <w:pPr>
              <w:jc w:val="both"/>
              <w:rPr>
                <w:b/>
              </w:rPr>
            </w:pPr>
            <w:r w:rsidRPr="008231B2">
              <w:rPr>
                <w:b/>
              </w:rPr>
              <w:t>HLP 1 Right to Fiscal Information</w:t>
            </w:r>
          </w:p>
        </w:tc>
        <w:tc>
          <w:tcPr>
            <w:tcW w:w="10267" w:type="dxa"/>
          </w:tcPr>
          <w:p w14:paraId="18A34B1F" w14:textId="0358037B" w:rsidR="004E40A0" w:rsidRPr="008231B2" w:rsidRDefault="004E40A0" w:rsidP="00AD0533">
            <w:pPr>
              <w:jc w:val="both"/>
            </w:pPr>
          </w:p>
        </w:tc>
        <w:tc>
          <w:tcPr>
            <w:tcW w:w="805" w:type="dxa"/>
          </w:tcPr>
          <w:p w14:paraId="7CBB28EB" w14:textId="496A9357" w:rsidR="004E40A0" w:rsidRPr="008231B2" w:rsidRDefault="004E40A0" w:rsidP="00AD0533">
            <w:pPr>
              <w:jc w:val="both"/>
            </w:pPr>
          </w:p>
        </w:tc>
        <w:tc>
          <w:tcPr>
            <w:tcW w:w="721" w:type="dxa"/>
          </w:tcPr>
          <w:p w14:paraId="331DC3D8" w14:textId="001E4E66" w:rsidR="004E40A0" w:rsidRPr="008231B2" w:rsidRDefault="00AD0533" w:rsidP="00AD0533">
            <w:pPr>
              <w:jc w:val="both"/>
              <w:rPr>
                <w:b/>
              </w:rPr>
            </w:pPr>
            <w:r>
              <w:rPr>
                <w:b/>
              </w:rPr>
              <w:t>0</w:t>
            </w:r>
          </w:p>
        </w:tc>
      </w:tr>
      <w:tr w:rsidR="004E40A0" w14:paraId="685FF667" w14:textId="77777777" w:rsidTr="0025534A">
        <w:tc>
          <w:tcPr>
            <w:tcW w:w="3243" w:type="dxa"/>
          </w:tcPr>
          <w:p w14:paraId="49FA120F" w14:textId="77777777" w:rsidR="004E40A0" w:rsidRPr="008231B2" w:rsidRDefault="004E40A0" w:rsidP="00AD0533">
            <w:pPr>
              <w:jc w:val="both"/>
              <w:rPr>
                <w:b/>
              </w:rPr>
            </w:pPr>
            <w:r w:rsidRPr="008231B2">
              <w:rPr>
                <w:b/>
              </w:rPr>
              <w:t>HLP 2 Aggregate fiscal policy</w:t>
            </w:r>
            <w:r w:rsidRPr="008231B2">
              <w:rPr>
                <w:b/>
              </w:rPr>
              <w:tab/>
            </w:r>
          </w:p>
        </w:tc>
        <w:tc>
          <w:tcPr>
            <w:tcW w:w="10267" w:type="dxa"/>
          </w:tcPr>
          <w:p w14:paraId="637F8616" w14:textId="77777777" w:rsidR="004E40A0" w:rsidRPr="008231B2" w:rsidRDefault="004E40A0" w:rsidP="00AD0533">
            <w:pPr>
              <w:jc w:val="both"/>
            </w:pPr>
          </w:p>
        </w:tc>
        <w:tc>
          <w:tcPr>
            <w:tcW w:w="805" w:type="dxa"/>
          </w:tcPr>
          <w:p w14:paraId="5161CEBE" w14:textId="352B91A7" w:rsidR="004E40A0" w:rsidRPr="008231B2" w:rsidRDefault="004E40A0" w:rsidP="00AD0533">
            <w:pPr>
              <w:jc w:val="both"/>
            </w:pPr>
          </w:p>
        </w:tc>
        <w:tc>
          <w:tcPr>
            <w:tcW w:w="721" w:type="dxa"/>
          </w:tcPr>
          <w:p w14:paraId="304529C3" w14:textId="25B24A24" w:rsidR="004E40A0" w:rsidRPr="008231B2" w:rsidRDefault="00AD0533" w:rsidP="00AD0533">
            <w:pPr>
              <w:jc w:val="both"/>
              <w:rPr>
                <w:b/>
              </w:rPr>
            </w:pPr>
            <w:r>
              <w:rPr>
                <w:b/>
              </w:rPr>
              <w:t>0</w:t>
            </w:r>
          </w:p>
        </w:tc>
      </w:tr>
      <w:tr w:rsidR="004E40A0" w14:paraId="012F81B3" w14:textId="77777777" w:rsidTr="0025534A">
        <w:tc>
          <w:tcPr>
            <w:tcW w:w="3243" w:type="dxa"/>
          </w:tcPr>
          <w:p w14:paraId="447CC215" w14:textId="77777777" w:rsidR="004E40A0" w:rsidRPr="008231B2" w:rsidRDefault="004E40A0" w:rsidP="00AD0533">
            <w:pPr>
              <w:jc w:val="both"/>
              <w:rPr>
                <w:b/>
              </w:rPr>
            </w:pPr>
            <w:r w:rsidRPr="008231B2">
              <w:rPr>
                <w:b/>
              </w:rPr>
              <w:t xml:space="preserve">HLP 3: Past, present and </w:t>
            </w:r>
          </w:p>
          <w:p w14:paraId="012E725B" w14:textId="550215ED" w:rsidR="004E40A0" w:rsidRPr="008231B2" w:rsidRDefault="004E40A0" w:rsidP="00AD0533">
            <w:pPr>
              <w:jc w:val="both"/>
              <w:rPr>
                <w:b/>
              </w:rPr>
            </w:pPr>
            <w:r w:rsidRPr="008231B2">
              <w:rPr>
                <w:b/>
              </w:rPr>
              <w:t>forecast fiscal information.</w:t>
            </w:r>
            <w:r w:rsidRPr="008231B2">
              <w:rPr>
                <w:b/>
              </w:rPr>
              <w:br/>
            </w:r>
            <w:r w:rsidRPr="008231B2">
              <w:t>Of which:</w:t>
            </w:r>
          </w:p>
        </w:tc>
        <w:tc>
          <w:tcPr>
            <w:tcW w:w="10267" w:type="dxa"/>
          </w:tcPr>
          <w:p w14:paraId="3E72DA4D" w14:textId="77777777" w:rsidR="004E40A0" w:rsidRPr="008231B2" w:rsidRDefault="004E40A0" w:rsidP="00AD0533">
            <w:pPr>
              <w:jc w:val="both"/>
            </w:pPr>
          </w:p>
        </w:tc>
        <w:tc>
          <w:tcPr>
            <w:tcW w:w="805" w:type="dxa"/>
          </w:tcPr>
          <w:p w14:paraId="1F66387C" w14:textId="61DB8B10" w:rsidR="004E40A0" w:rsidRPr="008231B2" w:rsidRDefault="004E40A0" w:rsidP="00AD0533">
            <w:pPr>
              <w:jc w:val="both"/>
            </w:pPr>
          </w:p>
        </w:tc>
        <w:tc>
          <w:tcPr>
            <w:tcW w:w="721" w:type="dxa"/>
          </w:tcPr>
          <w:p w14:paraId="2F91A339" w14:textId="126F7C4A" w:rsidR="004E40A0" w:rsidRPr="008231B2" w:rsidRDefault="00AD0533" w:rsidP="00AD0533">
            <w:pPr>
              <w:jc w:val="both"/>
              <w:rPr>
                <w:b/>
              </w:rPr>
            </w:pPr>
            <w:r>
              <w:rPr>
                <w:b/>
              </w:rPr>
              <w:t>49</w:t>
            </w:r>
          </w:p>
        </w:tc>
      </w:tr>
      <w:tr w:rsidR="004E40A0" w14:paraId="3F3A1912" w14:textId="77777777" w:rsidTr="0025534A">
        <w:tc>
          <w:tcPr>
            <w:tcW w:w="3243" w:type="dxa"/>
          </w:tcPr>
          <w:p w14:paraId="168F6827" w14:textId="77777777" w:rsidR="004E40A0" w:rsidRPr="008231B2" w:rsidRDefault="004E40A0" w:rsidP="00AD0533">
            <w:pPr>
              <w:jc w:val="both"/>
            </w:pPr>
            <w:r w:rsidRPr="008231B2">
              <w:t>3a) Budget transparency general</w:t>
            </w:r>
          </w:p>
        </w:tc>
        <w:tc>
          <w:tcPr>
            <w:tcW w:w="10267" w:type="dxa"/>
          </w:tcPr>
          <w:p w14:paraId="24ED9533" w14:textId="05964587" w:rsidR="004E40A0" w:rsidRPr="008231B2" w:rsidRDefault="00383CEB" w:rsidP="00AD0533">
            <w:pPr>
              <w:jc w:val="both"/>
            </w:pPr>
            <w:r>
              <w:t xml:space="preserve">Argentina, Brazil, Croatia, </w:t>
            </w:r>
            <w:r w:rsidR="004E40A0" w:rsidRPr="008231B2">
              <w:t xml:space="preserve">Colombia, Guatemala, </w:t>
            </w:r>
            <w:r>
              <w:t xml:space="preserve">South Africa, Tunisia, Ukraine, </w:t>
            </w:r>
            <w:r w:rsidR="004E40A0" w:rsidRPr="008231B2">
              <w:t>Uruguay</w:t>
            </w:r>
          </w:p>
        </w:tc>
        <w:tc>
          <w:tcPr>
            <w:tcW w:w="805" w:type="dxa"/>
          </w:tcPr>
          <w:p w14:paraId="602C9AE1" w14:textId="498F9969" w:rsidR="004E40A0" w:rsidRPr="008231B2" w:rsidRDefault="00AD0533" w:rsidP="00AD0533">
            <w:pPr>
              <w:jc w:val="both"/>
            </w:pPr>
            <w:r>
              <w:t>13</w:t>
            </w:r>
          </w:p>
        </w:tc>
        <w:tc>
          <w:tcPr>
            <w:tcW w:w="721" w:type="dxa"/>
          </w:tcPr>
          <w:p w14:paraId="2A3E9DD7" w14:textId="77777777" w:rsidR="004E40A0" w:rsidRPr="008231B2" w:rsidRDefault="004E40A0" w:rsidP="00AD0533">
            <w:pPr>
              <w:jc w:val="both"/>
              <w:rPr>
                <w:b/>
              </w:rPr>
            </w:pPr>
          </w:p>
        </w:tc>
      </w:tr>
      <w:tr w:rsidR="004E40A0" w14:paraId="4272F641" w14:textId="77777777" w:rsidTr="0025534A">
        <w:tc>
          <w:tcPr>
            <w:tcW w:w="3243" w:type="dxa"/>
          </w:tcPr>
          <w:p w14:paraId="32E0AAD2" w14:textId="77777777" w:rsidR="004E40A0" w:rsidRPr="008231B2" w:rsidRDefault="004E40A0" w:rsidP="00AD0533">
            <w:pPr>
              <w:jc w:val="both"/>
            </w:pPr>
            <w:r w:rsidRPr="008231B2">
              <w:t>3b) Fiscal Reporting</w:t>
            </w:r>
          </w:p>
        </w:tc>
        <w:tc>
          <w:tcPr>
            <w:tcW w:w="10267" w:type="dxa"/>
          </w:tcPr>
          <w:p w14:paraId="2407CEDA" w14:textId="0FDE0D5E" w:rsidR="004E40A0" w:rsidRPr="008231B2" w:rsidRDefault="004E40A0" w:rsidP="00AD0533">
            <w:pPr>
              <w:jc w:val="both"/>
            </w:pPr>
            <w:r w:rsidRPr="008231B2">
              <w:t>Argentina</w:t>
            </w:r>
            <w:r w:rsidR="00383CEB">
              <w:t>, Colombia, Croatia</w:t>
            </w:r>
          </w:p>
        </w:tc>
        <w:tc>
          <w:tcPr>
            <w:tcW w:w="805" w:type="dxa"/>
          </w:tcPr>
          <w:p w14:paraId="325EFD42" w14:textId="24FD1E53" w:rsidR="004E40A0" w:rsidRPr="008231B2" w:rsidRDefault="00AD0533" w:rsidP="00AD0533">
            <w:pPr>
              <w:jc w:val="both"/>
            </w:pPr>
            <w:r>
              <w:t>5</w:t>
            </w:r>
          </w:p>
        </w:tc>
        <w:tc>
          <w:tcPr>
            <w:tcW w:w="721" w:type="dxa"/>
          </w:tcPr>
          <w:p w14:paraId="0126A41F" w14:textId="77777777" w:rsidR="004E40A0" w:rsidRPr="008231B2" w:rsidRDefault="004E40A0" w:rsidP="00AD0533">
            <w:pPr>
              <w:jc w:val="both"/>
              <w:rPr>
                <w:b/>
              </w:rPr>
            </w:pPr>
          </w:p>
        </w:tc>
      </w:tr>
      <w:tr w:rsidR="004E40A0" w14:paraId="10690C1F" w14:textId="77777777" w:rsidTr="0025534A">
        <w:tc>
          <w:tcPr>
            <w:tcW w:w="3243" w:type="dxa"/>
          </w:tcPr>
          <w:p w14:paraId="4F5DEFE8" w14:textId="77777777" w:rsidR="004E40A0" w:rsidRPr="008231B2" w:rsidRDefault="004E40A0" w:rsidP="00AD0533">
            <w:pPr>
              <w:jc w:val="both"/>
            </w:pPr>
            <w:r w:rsidRPr="008231B2">
              <w:t xml:space="preserve">3c) Revenues general </w:t>
            </w:r>
          </w:p>
        </w:tc>
        <w:tc>
          <w:tcPr>
            <w:tcW w:w="10267" w:type="dxa"/>
          </w:tcPr>
          <w:p w14:paraId="595C6C07" w14:textId="05748FCA" w:rsidR="004E40A0" w:rsidRPr="008231B2" w:rsidRDefault="00383CEB" w:rsidP="00AD0533">
            <w:pPr>
              <w:jc w:val="both"/>
            </w:pPr>
            <w:r>
              <w:t xml:space="preserve">Chile, </w:t>
            </w:r>
            <w:r w:rsidR="004E40A0" w:rsidRPr="008231B2">
              <w:t xml:space="preserve">Guatemala, </w:t>
            </w:r>
            <w:r>
              <w:t xml:space="preserve">Nigeria, Tunisia, </w:t>
            </w:r>
            <w:r w:rsidR="004E40A0" w:rsidRPr="008231B2">
              <w:t>Uruguay</w:t>
            </w:r>
          </w:p>
        </w:tc>
        <w:tc>
          <w:tcPr>
            <w:tcW w:w="805" w:type="dxa"/>
          </w:tcPr>
          <w:p w14:paraId="0BBA1942" w14:textId="1D810D14" w:rsidR="004E40A0" w:rsidRPr="008231B2" w:rsidRDefault="00AD0533" w:rsidP="00AD0533">
            <w:pPr>
              <w:jc w:val="both"/>
            </w:pPr>
            <w:r>
              <w:t>5</w:t>
            </w:r>
          </w:p>
        </w:tc>
        <w:tc>
          <w:tcPr>
            <w:tcW w:w="721" w:type="dxa"/>
          </w:tcPr>
          <w:p w14:paraId="7D67C121" w14:textId="77777777" w:rsidR="004E40A0" w:rsidRPr="008231B2" w:rsidRDefault="004E40A0" w:rsidP="00AD0533">
            <w:pPr>
              <w:jc w:val="both"/>
              <w:rPr>
                <w:b/>
              </w:rPr>
            </w:pPr>
          </w:p>
        </w:tc>
      </w:tr>
      <w:tr w:rsidR="004E40A0" w14:paraId="6EF5F8F0" w14:textId="77777777" w:rsidTr="0025534A">
        <w:tc>
          <w:tcPr>
            <w:tcW w:w="3243" w:type="dxa"/>
          </w:tcPr>
          <w:p w14:paraId="2902C1ED" w14:textId="77777777" w:rsidR="004E40A0" w:rsidRPr="008231B2" w:rsidRDefault="004E40A0" w:rsidP="00AD0533">
            <w:pPr>
              <w:jc w:val="both"/>
            </w:pPr>
            <w:r w:rsidRPr="008231B2">
              <w:t xml:space="preserve">3d) Natural resource revenues </w:t>
            </w:r>
          </w:p>
        </w:tc>
        <w:tc>
          <w:tcPr>
            <w:tcW w:w="10267" w:type="dxa"/>
          </w:tcPr>
          <w:p w14:paraId="68449759" w14:textId="6ECB9782" w:rsidR="004E40A0" w:rsidRPr="008231B2" w:rsidRDefault="00383CEB" w:rsidP="00AD0533">
            <w:pPr>
              <w:jc w:val="both"/>
            </w:pPr>
            <w:r>
              <w:t xml:space="preserve">Chile, Colombia, </w:t>
            </w:r>
            <w:r w:rsidR="004C54DE">
              <w:t>Nigeria, Philippines, Tunisia</w:t>
            </w:r>
            <w:r w:rsidR="004E40A0" w:rsidRPr="008231B2">
              <w:t xml:space="preserve">, </w:t>
            </w:r>
            <w:r>
              <w:t xml:space="preserve">Ukraine, </w:t>
            </w:r>
            <w:r w:rsidR="004E40A0" w:rsidRPr="008231B2">
              <w:t>USA</w:t>
            </w:r>
          </w:p>
        </w:tc>
        <w:tc>
          <w:tcPr>
            <w:tcW w:w="805" w:type="dxa"/>
          </w:tcPr>
          <w:p w14:paraId="62CFCB06" w14:textId="7ADF7135" w:rsidR="004E40A0" w:rsidRPr="008231B2" w:rsidRDefault="00AD0533" w:rsidP="00AD0533">
            <w:pPr>
              <w:jc w:val="both"/>
            </w:pPr>
            <w:r>
              <w:t>8</w:t>
            </w:r>
          </w:p>
        </w:tc>
        <w:tc>
          <w:tcPr>
            <w:tcW w:w="721" w:type="dxa"/>
          </w:tcPr>
          <w:p w14:paraId="58AC8EFA" w14:textId="77777777" w:rsidR="004E40A0" w:rsidRPr="008231B2" w:rsidRDefault="004E40A0" w:rsidP="00AD0533">
            <w:pPr>
              <w:jc w:val="both"/>
              <w:rPr>
                <w:b/>
              </w:rPr>
            </w:pPr>
          </w:p>
        </w:tc>
      </w:tr>
      <w:tr w:rsidR="004E40A0" w14:paraId="529B7951" w14:textId="77777777" w:rsidTr="0025534A">
        <w:tc>
          <w:tcPr>
            <w:tcW w:w="3243" w:type="dxa"/>
          </w:tcPr>
          <w:p w14:paraId="6D5C1382" w14:textId="77777777" w:rsidR="004E40A0" w:rsidRPr="008231B2" w:rsidRDefault="004E40A0" w:rsidP="00AD0533">
            <w:pPr>
              <w:jc w:val="both"/>
            </w:pPr>
            <w:r w:rsidRPr="008231B2">
              <w:t>3e) External financing</w:t>
            </w:r>
          </w:p>
        </w:tc>
        <w:tc>
          <w:tcPr>
            <w:tcW w:w="10267" w:type="dxa"/>
          </w:tcPr>
          <w:p w14:paraId="41BE62F6" w14:textId="41B2F6C1" w:rsidR="004E40A0" w:rsidRPr="008231B2" w:rsidRDefault="004E40A0" w:rsidP="00AD0533">
            <w:pPr>
              <w:jc w:val="both"/>
            </w:pPr>
            <w:r w:rsidRPr="008231B2">
              <w:t>USA</w:t>
            </w:r>
          </w:p>
        </w:tc>
        <w:tc>
          <w:tcPr>
            <w:tcW w:w="805" w:type="dxa"/>
          </w:tcPr>
          <w:p w14:paraId="4B3BF631" w14:textId="69070041" w:rsidR="004E40A0" w:rsidRPr="008231B2" w:rsidRDefault="00AD0533" w:rsidP="00AD0533">
            <w:pPr>
              <w:jc w:val="both"/>
            </w:pPr>
            <w:r>
              <w:t>1</w:t>
            </w:r>
          </w:p>
        </w:tc>
        <w:tc>
          <w:tcPr>
            <w:tcW w:w="721" w:type="dxa"/>
          </w:tcPr>
          <w:p w14:paraId="5660975C" w14:textId="77777777" w:rsidR="004E40A0" w:rsidRPr="008231B2" w:rsidRDefault="004E40A0" w:rsidP="00AD0533">
            <w:pPr>
              <w:jc w:val="both"/>
              <w:rPr>
                <w:b/>
              </w:rPr>
            </w:pPr>
          </w:p>
        </w:tc>
      </w:tr>
      <w:tr w:rsidR="004E40A0" w14:paraId="3235CD35" w14:textId="77777777" w:rsidTr="0025534A">
        <w:tc>
          <w:tcPr>
            <w:tcW w:w="3243" w:type="dxa"/>
          </w:tcPr>
          <w:p w14:paraId="3189EA8C" w14:textId="77777777" w:rsidR="004E40A0" w:rsidRPr="008231B2" w:rsidRDefault="004E40A0" w:rsidP="00AD0533">
            <w:pPr>
              <w:jc w:val="both"/>
            </w:pPr>
            <w:r w:rsidRPr="008231B2">
              <w:t>3f) Public investment mgmt.</w:t>
            </w:r>
          </w:p>
        </w:tc>
        <w:tc>
          <w:tcPr>
            <w:tcW w:w="10267" w:type="dxa"/>
          </w:tcPr>
          <w:p w14:paraId="5555D2CC" w14:textId="6E7B935C" w:rsidR="004E40A0" w:rsidRPr="008231B2" w:rsidRDefault="004E40A0" w:rsidP="00AD0533">
            <w:pPr>
              <w:jc w:val="both"/>
            </w:pPr>
            <w:r w:rsidRPr="008231B2">
              <w:t>Colombia, Mexico, Paraguay, Uruguay, USA</w:t>
            </w:r>
          </w:p>
        </w:tc>
        <w:tc>
          <w:tcPr>
            <w:tcW w:w="805" w:type="dxa"/>
          </w:tcPr>
          <w:p w14:paraId="49675D87" w14:textId="4CA19D25" w:rsidR="004E40A0" w:rsidRPr="008231B2" w:rsidRDefault="00AD0533" w:rsidP="00AD0533">
            <w:pPr>
              <w:jc w:val="both"/>
            </w:pPr>
            <w:r>
              <w:t>8</w:t>
            </w:r>
          </w:p>
        </w:tc>
        <w:tc>
          <w:tcPr>
            <w:tcW w:w="721" w:type="dxa"/>
          </w:tcPr>
          <w:p w14:paraId="1D7BD20C" w14:textId="77777777" w:rsidR="004E40A0" w:rsidRPr="008231B2" w:rsidRDefault="004E40A0" w:rsidP="00AD0533">
            <w:pPr>
              <w:jc w:val="both"/>
              <w:rPr>
                <w:b/>
              </w:rPr>
            </w:pPr>
          </w:p>
        </w:tc>
      </w:tr>
      <w:tr w:rsidR="004E40A0" w14:paraId="18CEBAEA" w14:textId="77777777" w:rsidTr="0025534A">
        <w:tc>
          <w:tcPr>
            <w:tcW w:w="3243" w:type="dxa"/>
          </w:tcPr>
          <w:p w14:paraId="550E4298" w14:textId="77777777" w:rsidR="004E40A0" w:rsidRPr="008231B2" w:rsidRDefault="004E40A0" w:rsidP="00AD0533">
            <w:pPr>
              <w:jc w:val="both"/>
            </w:pPr>
            <w:r w:rsidRPr="008231B2">
              <w:t>3g) Open fiscal data</w:t>
            </w:r>
          </w:p>
        </w:tc>
        <w:tc>
          <w:tcPr>
            <w:tcW w:w="10267" w:type="dxa"/>
          </w:tcPr>
          <w:p w14:paraId="16E75125" w14:textId="1A6111D6" w:rsidR="004E40A0" w:rsidRPr="008231B2" w:rsidRDefault="00383CEB" w:rsidP="00AD0533">
            <w:pPr>
              <w:jc w:val="both"/>
            </w:pPr>
            <w:r>
              <w:t xml:space="preserve">Brazil, </w:t>
            </w:r>
            <w:r w:rsidR="004E40A0" w:rsidRPr="008231B2">
              <w:t xml:space="preserve">Colombia, </w:t>
            </w:r>
            <w:r>
              <w:t xml:space="preserve">Guatemala, Indonesia, </w:t>
            </w:r>
            <w:r w:rsidR="004E40A0" w:rsidRPr="008231B2">
              <w:t>Uruguay, USA</w:t>
            </w:r>
          </w:p>
        </w:tc>
        <w:tc>
          <w:tcPr>
            <w:tcW w:w="805" w:type="dxa"/>
          </w:tcPr>
          <w:p w14:paraId="4EB575E7" w14:textId="6F1684FB" w:rsidR="004E40A0" w:rsidRPr="008231B2" w:rsidRDefault="00AD0533" w:rsidP="00AD0533">
            <w:pPr>
              <w:jc w:val="both"/>
            </w:pPr>
            <w:r>
              <w:t>7</w:t>
            </w:r>
          </w:p>
        </w:tc>
        <w:tc>
          <w:tcPr>
            <w:tcW w:w="721" w:type="dxa"/>
          </w:tcPr>
          <w:p w14:paraId="22790C04" w14:textId="77777777" w:rsidR="004E40A0" w:rsidRPr="008231B2" w:rsidRDefault="004E40A0" w:rsidP="00AD0533">
            <w:pPr>
              <w:jc w:val="both"/>
              <w:rPr>
                <w:b/>
              </w:rPr>
            </w:pPr>
          </w:p>
        </w:tc>
      </w:tr>
      <w:tr w:rsidR="004E40A0" w14:paraId="385FDAE3" w14:textId="77777777" w:rsidTr="0025534A">
        <w:tc>
          <w:tcPr>
            <w:tcW w:w="3243" w:type="dxa"/>
          </w:tcPr>
          <w:p w14:paraId="4DE56518" w14:textId="77777777" w:rsidR="004E40A0" w:rsidRPr="008231B2" w:rsidRDefault="004E40A0" w:rsidP="00AD0533">
            <w:pPr>
              <w:jc w:val="both"/>
            </w:pPr>
            <w:r w:rsidRPr="008231B2">
              <w:t>3h) SDGs</w:t>
            </w:r>
          </w:p>
        </w:tc>
        <w:tc>
          <w:tcPr>
            <w:tcW w:w="10267" w:type="dxa"/>
          </w:tcPr>
          <w:p w14:paraId="2A696A6B" w14:textId="343B122A" w:rsidR="004E40A0" w:rsidRPr="008231B2" w:rsidRDefault="00383CEB" w:rsidP="00AD0533">
            <w:pPr>
              <w:jc w:val="both"/>
            </w:pPr>
            <w:r>
              <w:t xml:space="preserve">Brazil, </w:t>
            </w:r>
            <w:r w:rsidR="004E40A0" w:rsidRPr="008231B2">
              <w:t>USA</w:t>
            </w:r>
          </w:p>
        </w:tc>
        <w:tc>
          <w:tcPr>
            <w:tcW w:w="805" w:type="dxa"/>
          </w:tcPr>
          <w:p w14:paraId="41E5A8EA" w14:textId="4DF88AA4" w:rsidR="004E40A0" w:rsidRPr="008231B2" w:rsidRDefault="00AD0533" w:rsidP="00AD0533">
            <w:pPr>
              <w:jc w:val="both"/>
            </w:pPr>
            <w:r>
              <w:t>2</w:t>
            </w:r>
          </w:p>
        </w:tc>
        <w:tc>
          <w:tcPr>
            <w:tcW w:w="721" w:type="dxa"/>
          </w:tcPr>
          <w:p w14:paraId="228DE390" w14:textId="77777777" w:rsidR="004E40A0" w:rsidRPr="008231B2" w:rsidRDefault="004E40A0" w:rsidP="00AD0533">
            <w:pPr>
              <w:jc w:val="both"/>
              <w:rPr>
                <w:b/>
              </w:rPr>
            </w:pPr>
          </w:p>
        </w:tc>
      </w:tr>
      <w:tr w:rsidR="004E40A0" w14:paraId="6333EFED" w14:textId="77777777" w:rsidTr="0025534A">
        <w:tc>
          <w:tcPr>
            <w:tcW w:w="3243" w:type="dxa"/>
          </w:tcPr>
          <w:p w14:paraId="136ACE3A" w14:textId="170D7555" w:rsidR="004E40A0" w:rsidRPr="008231B2" w:rsidRDefault="004E40A0" w:rsidP="00AD0533">
            <w:pPr>
              <w:jc w:val="both"/>
              <w:rPr>
                <w:b/>
              </w:rPr>
            </w:pPr>
            <w:r w:rsidRPr="008231B2">
              <w:rPr>
                <w:b/>
              </w:rPr>
              <w:t>HLP 4: Outputs and outcomes.</w:t>
            </w:r>
          </w:p>
          <w:p w14:paraId="505D0C8F" w14:textId="2730D2A3" w:rsidR="004E40A0" w:rsidRPr="008231B2" w:rsidRDefault="004E40A0" w:rsidP="00AD0533">
            <w:pPr>
              <w:jc w:val="both"/>
            </w:pPr>
            <w:r w:rsidRPr="008231B2">
              <w:t>Of which:</w:t>
            </w:r>
          </w:p>
        </w:tc>
        <w:tc>
          <w:tcPr>
            <w:tcW w:w="10267" w:type="dxa"/>
          </w:tcPr>
          <w:p w14:paraId="50E36727" w14:textId="77777777" w:rsidR="004E40A0" w:rsidRPr="008231B2" w:rsidRDefault="004E40A0" w:rsidP="00AD0533">
            <w:pPr>
              <w:jc w:val="both"/>
            </w:pPr>
          </w:p>
        </w:tc>
        <w:tc>
          <w:tcPr>
            <w:tcW w:w="805" w:type="dxa"/>
          </w:tcPr>
          <w:p w14:paraId="4A614195" w14:textId="39DC3B80" w:rsidR="004E40A0" w:rsidRPr="008231B2" w:rsidRDefault="004E40A0" w:rsidP="00AD0533">
            <w:pPr>
              <w:jc w:val="both"/>
            </w:pPr>
          </w:p>
        </w:tc>
        <w:tc>
          <w:tcPr>
            <w:tcW w:w="721" w:type="dxa"/>
          </w:tcPr>
          <w:p w14:paraId="101DD2FD" w14:textId="34737051" w:rsidR="004E40A0" w:rsidRPr="008231B2" w:rsidRDefault="00AD0533" w:rsidP="00AD0533">
            <w:pPr>
              <w:jc w:val="both"/>
              <w:rPr>
                <w:b/>
              </w:rPr>
            </w:pPr>
            <w:r>
              <w:rPr>
                <w:b/>
              </w:rPr>
              <w:t>27</w:t>
            </w:r>
          </w:p>
        </w:tc>
      </w:tr>
      <w:tr w:rsidR="004E40A0" w14:paraId="7829AAFD" w14:textId="77777777" w:rsidTr="0025534A">
        <w:tc>
          <w:tcPr>
            <w:tcW w:w="3243" w:type="dxa"/>
          </w:tcPr>
          <w:p w14:paraId="5A8843E4" w14:textId="770D1C3A" w:rsidR="004E40A0" w:rsidRPr="008231B2" w:rsidRDefault="004E40A0" w:rsidP="00AD0533">
            <w:pPr>
              <w:jc w:val="both"/>
            </w:pPr>
            <w:r w:rsidRPr="008231B2">
              <w:t>4a) Performance information</w:t>
            </w:r>
          </w:p>
        </w:tc>
        <w:tc>
          <w:tcPr>
            <w:tcW w:w="10267" w:type="dxa"/>
          </w:tcPr>
          <w:p w14:paraId="55B70605" w14:textId="2FEE48AA" w:rsidR="004E40A0" w:rsidRPr="008231B2" w:rsidRDefault="00383CEB" w:rsidP="00AD0533">
            <w:pPr>
              <w:jc w:val="both"/>
            </w:pPr>
            <w:r>
              <w:t xml:space="preserve">Argentina, Brazil, Chile, Croatia, </w:t>
            </w:r>
            <w:r w:rsidR="004E40A0" w:rsidRPr="008231B2">
              <w:t xml:space="preserve">Guatemala, </w:t>
            </w:r>
            <w:r>
              <w:t xml:space="preserve">Indonesia, </w:t>
            </w:r>
            <w:r w:rsidR="004E40A0" w:rsidRPr="008231B2">
              <w:t>Uruguay, USA</w:t>
            </w:r>
          </w:p>
        </w:tc>
        <w:tc>
          <w:tcPr>
            <w:tcW w:w="805" w:type="dxa"/>
          </w:tcPr>
          <w:p w14:paraId="258ACFA7" w14:textId="5E82836A" w:rsidR="004E40A0" w:rsidRPr="008231B2" w:rsidRDefault="00110B58" w:rsidP="00AD0533">
            <w:pPr>
              <w:jc w:val="both"/>
            </w:pPr>
            <w:r>
              <w:t>8</w:t>
            </w:r>
          </w:p>
        </w:tc>
        <w:tc>
          <w:tcPr>
            <w:tcW w:w="721" w:type="dxa"/>
          </w:tcPr>
          <w:p w14:paraId="594CF396" w14:textId="77777777" w:rsidR="004E40A0" w:rsidRPr="008231B2" w:rsidRDefault="004E40A0" w:rsidP="00AD0533">
            <w:pPr>
              <w:jc w:val="both"/>
              <w:rPr>
                <w:b/>
              </w:rPr>
            </w:pPr>
          </w:p>
        </w:tc>
      </w:tr>
      <w:tr w:rsidR="004E40A0" w14:paraId="5FCB681B" w14:textId="77777777" w:rsidTr="0025534A">
        <w:tc>
          <w:tcPr>
            <w:tcW w:w="3243" w:type="dxa"/>
          </w:tcPr>
          <w:p w14:paraId="7191A285" w14:textId="1599EE04" w:rsidR="004E40A0" w:rsidRPr="008231B2" w:rsidRDefault="004E40A0" w:rsidP="00AD0533">
            <w:pPr>
              <w:jc w:val="both"/>
            </w:pPr>
            <w:r w:rsidRPr="008231B2">
              <w:t>4b) Social monitoring</w:t>
            </w:r>
          </w:p>
        </w:tc>
        <w:tc>
          <w:tcPr>
            <w:tcW w:w="10267" w:type="dxa"/>
          </w:tcPr>
          <w:p w14:paraId="31A755CF" w14:textId="406FFF08" w:rsidR="004E40A0" w:rsidRPr="008231B2" w:rsidRDefault="00383CEB" w:rsidP="00AD0533">
            <w:pPr>
              <w:jc w:val="both"/>
            </w:pPr>
            <w:r>
              <w:t xml:space="preserve">Argentina, </w:t>
            </w:r>
            <w:r w:rsidR="004E40A0" w:rsidRPr="008231B2">
              <w:t>Colombia, Dom</w:t>
            </w:r>
            <w:r w:rsidR="008C74AE">
              <w:t xml:space="preserve">. </w:t>
            </w:r>
            <w:r w:rsidR="004E40A0" w:rsidRPr="008231B2">
              <w:t xml:space="preserve">Republic, El Salvador, Guatemala, Paraguay, </w:t>
            </w:r>
            <w:r>
              <w:t xml:space="preserve">Philippines, South Africa, </w:t>
            </w:r>
            <w:r w:rsidR="004E40A0" w:rsidRPr="008231B2">
              <w:t>Uruguay, USA</w:t>
            </w:r>
          </w:p>
        </w:tc>
        <w:tc>
          <w:tcPr>
            <w:tcW w:w="805" w:type="dxa"/>
          </w:tcPr>
          <w:p w14:paraId="64B70695" w14:textId="06C7564E" w:rsidR="004E40A0" w:rsidRPr="008231B2" w:rsidRDefault="00110B58" w:rsidP="00AD0533">
            <w:pPr>
              <w:jc w:val="both"/>
            </w:pPr>
            <w:r>
              <w:t>19</w:t>
            </w:r>
          </w:p>
        </w:tc>
        <w:tc>
          <w:tcPr>
            <w:tcW w:w="721" w:type="dxa"/>
          </w:tcPr>
          <w:p w14:paraId="5C84700C" w14:textId="77777777" w:rsidR="004E40A0" w:rsidRPr="008231B2" w:rsidRDefault="004E40A0" w:rsidP="00AD0533">
            <w:pPr>
              <w:jc w:val="both"/>
              <w:rPr>
                <w:b/>
              </w:rPr>
            </w:pPr>
          </w:p>
        </w:tc>
      </w:tr>
      <w:tr w:rsidR="004E40A0" w14:paraId="010D8CBC" w14:textId="77777777" w:rsidTr="0025534A">
        <w:tc>
          <w:tcPr>
            <w:tcW w:w="3243" w:type="dxa"/>
          </w:tcPr>
          <w:p w14:paraId="1965B54B" w14:textId="77777777" w:rsidR="004E40A0" w:rsidRPr="008231B2" w:rsidRDefault="004E40A0" w:rsidP="00AD0533">
            <w:pPr>
              <w:jc w:val="both"/>
              <w:rPr>
                <w:b/>
              </w:rPr>
            </w:pPr>
            <w:r w:rsidRPr="008231B2">
              <w:rPr>
                <w:b/>
              </w:rPr>
              <w:t>HLP 5: Legal Framework</w:t>
            </w:r>
          </w:p>
        </w:tc>
        <w:tc>
          <w:tcPr>
            <w:tcW w:w="10267" w:type="dxa"/>
          </w:tcPr>
          <w:p w14:paraId="2878BF73" w14:textId="299864AD" w:rsidR="004E40A0" w:rsidRPr="008231B2" w:rsidRDefault="00383CEB" w:rsidP="00AD0533">
            <w:pPr>
              <w:jc w:val="both"/>
            </w:pPr>
            <w:r>
              <w:t xml:space="preserve">Colombia, Guatemala, </w:t>
            </w:r>
            <w:r w:rsidR="004E40A0">
              <w:t>Philippines</w:t>
            </w:r>
            <w:r>
              <w:t>, Uruguay</w:t>
            </w:r>
          </w:p>
        </w:tc>
        <w:tc>
          <w:tcPr>
            <w:tcW w:w="805" w:type="dxa"/>
          </w:tcPr>
          <w:p w14:paraId="14C5A30F" w14:textId="1292E570" w:rsidR="004E40A0" w:rsidRPr="008231B2" w:rsidRDefault="004E40A0" w:rsidP="00AD0533">
            <w:pPr>
              <w:jc w:val="both"/>
            </w:pPr>
          </w:p>
        </w:tc>
        <w:tc>
          <w:tcPr>
            <w:tcW w:w="721" w:type="dxa"/>
          </w:tcPr>
          <w:p w14:paraId="7D0D4499" w14:textId="2846B3DF" w:rsidR="004E40A0" w:rsidRPr="008231B2" w:rsidRDefault="00110B58" w:rsidP="00AD0533">
            <w:pPr>
              <w:jc w:val="both"/>
              <w:rPr>
                <w:b/>
              </w:rPr>
            </w:pPr>
            <w:r>
              <w:rPr>
                <w:b/>
              </w:rPr>
              <w:t>5</w:t>
            </w:r>
          </w:p>
        </w:tc>
      </w:tr>
      <w:tr w:rsidR="004E40A0" w14:paraId="44C64947" w14:textId="77777777" w:rsidTr="0025534A">
        <w:tc>
          <w:tcPr>
            <w:tcW w:w="3243" w:type="dxa"/>
          </w:tcPr>
          <w:p w14:paraId="7FDCB22E" w14:textId="77777777" w:rsidR="004E40A0" w:rsidRPr="008231B2" w:rsidRDefault="004E40A0" w:rsidP="00AD0533">
            <w:pPr>
              <w:jc w:val="both"/>
              <w:rPr>
                <w:b/>
              </w:rPr>
            </w:pPr>
            <w:r w:rsidRPr="008231B2">
              <w:rPr>
                <w:b/>
              </w:rPr>
              <w:t>HLP 6: Govt./private sector</w:t>
            </w:r>
          </w:p>
        </w:tc>
        <w:tc>
          <w:tcPr>
            <w:tcW w:w="10267" w:type="dxa"/>
          </w:tcPr>
          <w:p w14:paraId="3412DA06" w14:textId="1B897288" w:rsidR="004E40A0" w:rsidRPr="008231B2" w:rsidRDefault="00383CEB" w:rsidP="00AD0533">
            <w:pPr>
              <w:jc w:val="both"/>
            </w:pPr>
            <w:r>
              <w:t xml:space="preserve">Argentina, Chile, </w:t>
            </w:r>
            <w:r w:rsidR="004E40A0" w:rsidRPr="008231B2">
              <w:t xml:space="preserve">Colombia, Dominican Republic, Guatemala, </w:t>
            </w:r>
            <w:r>
              <w:t xml:space="preserve">Nigeria, Ukraine, </w:t>
            </w:r>
            <w:r w:rsidR="004E40A0" w:rsidRPr="008231B2">
              <w:t>Uruguay</w:t>
            </w:r>
            <w:r>
              <w:t>, USA</w:t>
            </w:r>
          </w:p>
        </w:tc>
        <w:tc>
          <w:tcPr>
            <w:tcW w:w="805" w:type="dxa"/>
          </w:tcPr>
          <w:p w14:paraId="044A42DF" w14:textId="3E2BDEE5" w:rsidR="004E40A0" w:rsidRPr="008231B2" w:rsidRDefault="004E40A0" w:rsidP="00AD0533">
            <w:pPr>
              <w:jc w:val="both"/>
            </w:pPr>
          </w:p>
        </w:tc>
        <w:tc>
          <w:tcPr>
            <w:tcW w:w="721" w:type="dxa"/>
          </w:tcPr>
          <w:p w14:paraId="2FF42899" w14:textId="3539D8D6" w:rsidR="004E40A0" w:rsidRPr="008231B2" w:rsidRDefault="00110B58" w:rsidP="00AD0533">
            <w:pPr>
              <w:jc w:val="both"/>
              <w:rPr>
                <w:b/>
              </w:rPr>
            </w:pPr>
            <w:r>
              <w:rPr>
                <w:b/>
              </w:rPr>
              <w:t>12</w:t>
            </w:r>
          </w:p>
        </w:tc>
      </w:tr>
      <w:tr w:rsidR="004E40A0" w14:paraId="61ED5DA9" w14:textId="77777777" w:rsidTr="0025534A">
        <w:tc>
          <w:tcPr>
            <w:tcW w:w="3243" w:type="dxa"/>
          </w:tcPr>
          <w:p w14:paraId="05F5FE84" w14:textId="77777777" w:rsidR="004E40A0" w:rsidRPr="008231B2" w:rsidRDefault="004E40A0" w:rsidP="00AD0533">
            <w:pPr>
              <w:jc w:val="both"/>
              <w:rPr>
                <w:b/>
              </w:rPr>
            </w:pPr>
            <w:r w:rsidRPr="008231B2">
              <w:rPr>
                <w:b/>
              </w:rPr>
              <w:t>HLP 7: Clarity of roles</w:t>
            </w:r>
          </w:p>
        </w:tc>
        <w:tc>
          <w:tcPr>
            <w:tcW w:w="10267" w:type="dxa"/>
          </w:tcPr>
          <w:p w14:paraId="36302282" w14:textId="107B3BB1" w:rsidR="004E40A0" w:rsidRPr="008231B2" w:rsidRDefault="00383CEB" w:rsidP="00AD0533">
            <w:pPr>
              <w:jc w:val="both"/>
            </w:pPr>
            <w:r>
              <w:t>Guatemala, Philippines, USA</w:t>
            </w:r>
          </w:p>
        </w:tc>
        <w:tc>
          <w:tcPr>
            <w:tcW w:w="805" w:type="dxa"/>
          </w:tcPr>
          <w:p w14:paraId="13AB7816" w14:textId="43372917" w:rsidR="004E40A0" w:rsidRPr="008231B2" w:rsidRDefault="004E40A0" w:rsidP="00AD0533">
            <w:pPr>
              <w:jc w:val="both"/>
            </w:pPr>
          </w:p>
        </w:tc>
        <w:tc>
          <w:tcPr>
            <w:tcW w:w="721" w:type="dxa"/>
          </w:tcPr>
          <w:p w14:paraId="342A9D9D" w14:textId="07406588" w:rsidR="004E40A0" w:rsidRPr="008231B2" w:rsidRDefault="00110B58" w:rsidP="00AD0533">
            <w:pPr>
              <w:jc w:val="both"/>
              <w:rPr>
                <w:b/>
              </w:rPr>
            </w:pPr>
            <w:r>
              <w:rPr>
                <w:b/>
              </w:rPr>
              <w:t>3</w:t>
            </w:r>
          </w:p>
        </w:tc>
      </w:tr>
      <w:tr w:rsidR="004E40A0" w14:paraId="1D0ADFA2" w14:textId="77777777" w:rsidTr="0025534A">
        <w:tc>
          <w:tcPr>
            <w:tcW w:w="3243" w:type="dxa"/>
          </w:tcPr>
          <w:p w14:paraId="6A2EFD20" w14:textId="77777777" w:rsidR="004E40A0" w:rsidRPr="008231B2" w:rsidRDefault="004E40A0" w:rsidP="00AD0533">
            <w:pPr>
              <w:jc w:val="both"/>
              <w:rPr>
                <w:b/>
              </w:rPr>
            </w:pPr>
            <w:r w:rsidRPr="008231B2">
              <w:rPr>
                <w:b/>
              </w:rPr>
              <w:t>HLP 8: Legislative oversight</w:t>
            </w:r>
          </w:p>
        </w:tc>
        <w:tc>
          <w:tcPr>
            <w:tcW w:w="10267" w:type="dxa"/>
          </w:tcPr>
          <w:p w14:paraId="1D959211" w14:textId="51C5486B" w:rsidR="004E40A0" w:rsidRPr="008231B2" w:rsidRDefault="00383CEB" w:rsidP="00AD0533">
            <w:pPr>
              <w:jc w:val="both"/>
            </w:pPr>
            <w:r>
              <w:t xml:space="preserve">Nigeria, </w:t>
            </w:r>
            <w:r w:rsidR="004E40A0" w:rsidRPr="008231B2">
              <w:t>P</w:t>
            </w:r>
            <w:r w:rsidR="004E40A0">
              <w:t>hilippines</w:t>
            </w:r>
          </w:p>
        </w:tc>
        <w:tc>
          <w:tcPr>
            <w:tcW w:w="805" w:type="dxa"/>
          </w:tcPr>
          <w:p w14:paraId="64903BEC" w14:textId="6955D9E8" w:rsidR="004E40A0" w:rsidRPr="008231B2" w:rsidRDefault="004E40A0" w:rsidP="00AD0533">
            <w:pPr>
              <w:jc w:val="both"/>
            </w:pPr>
          </w:p>
        </w:tc>
        <w:tc>
          <w:tcPr>
            <w:tcW w:w="721" w:type="dxa"/>
          </w:tcPr>
          <w:p w14:paraId="0C57BD6E" w14:textId="4C83D970" w:rsidR="004E40A0" w:rsidRPr="008231B2" w:rsidRDefault="00110B58" w:rsidP="00AD0533">
            <w:pPr>
              <w:jc w:val="both"/>
              <w:rPr>
                <w:b/>
              </w:rPr>
            </w:pPr>
            <w:r>
              <w:rPr>
                <w:b/>
              </w:rPr>
              <w:t>2</w:t>
            </w:r>
          </w:p>
        </w:tc>
      </w:tr>
      <w:tr w:rsidR="004E40A0" w14:paraId="56C1D168" w14:textId="77777777" w:rsidTr="0025534A">
        <w:tc>
          <w:tcPr>
            <w:tcW w:w="3243" w:type="dxa"/>
          </w:tcPr>
          <w:p w14:paraId="69D1ABB5" w14:textId="7294185F" w:rsidR="004E40A0" w:rsidRPr="008231B2" w:rsidRDefault="004E40A0" w:rsidP="00AD0533">
            <w:pPr>
              <w:jc w:val="both"/>
              <w:rPr>
                <w:b/>
              </w:rPr>
            </w:pPr>
            <w:r w:rsidRPr="008231B2">
              <w:rPr>
                <w:b/>
              </w:rPr>
              <w:t>HLP 9: Independent audit</w:t>
            </w:r>
          </w:p>
        </w:tc>
        <w:tc>
          <w:tcPr>
            <w:tcW w:w="10267" w:type="dxa"/>
          </w:tcPr>
          <w:p w14:paraId="75843766" w14:textId="12D796D6" w:rsidR="004E40A0" w:rsidRPr="008231B2" w:rsidRDefault="00383CEB" w:rsidP="00AD0533">
            <w:pPr>
              <w:jc w:val="both"/>
            </w:pPr>
            <w:r>
              <w:t xml:space="preserve">Argentina, </w:t>
            </w:r>
            <w:r w:rsidR="004E40A0">
              <w:t>Philippines</w:t>
            </w:r>
          </w:p>
        </w:tc>
        <w:tc>
          <w:tcPr>
            <w:tcW w:w="805" w:type="dxa"/>
          </w:tcPr>
          <w:p w14:paraId="628516F3" w14:textId="54B316F2" w:rsidR="004E40A0" w:rsidRPr="008231B2" w:rsidRDefault="004E40A0" w:rsidP="00AD0533">
            <w:pPr>
              <w:jc w:val="both"/>
            </w:pPr>
          </w:p>
        </w:tc>
        <w:tc>
          <w:tcPr>
            <w:tcW w:w="721" w:type="dxa"/>
          </w:tcPr>
          <w:p w14:paraId="26CE633D" w14:textId="79397F04" w:rsidR="004E40A0" w:rsidRPr="008231B2" w:rsidRDefault="00110B58" w:rsidP="00AD0533">
            <w:pPr>
              <w:jc w:val="both"/>
              <w:rPr>
                <w:b/>
              </w:rPr>
            </w:pPr>
            <w:r>
              <w:rPr>
                <w:b/>
              </w:rPr>
              <w:t>2</w:t>
            </w:r>
          </w:p>
        </w:tc>
      </w:tr>
      <w:tr w:rsidR="004E40A0" w14:paraId="72768FDA" w14:textId="77777777" w:rsidTr="0025534A">
        <w:tc>
          <w:tcPr>
            <w:tcW w:w="3243" w:type="dxa"/>
          </w:tcPr>
          <w:p w14:paraId="4F19A172" w14:textId="61671391" w:rsidR="004E40A0" w:rsidRPr="008231B2" w:rsidRDefault="004E40A0" w:rsidP="008C74AE">
            <w:pPr>
              <w:jc w:val="both"/>
              <w:rPr>
                <w:b/>
              </w:rPr>
            </w:pPr>
            <w:r w:rsidRPr="008231B2">
              <w:rPr>
                <w:b/>
              </w:rPr>
              <w:t xml:space="preserve">HLP 10: </w:t>
            </w:r>
            <w:r w:rsidR="00641A7A">
              <w:rPr>
                <w:b/>
              </w:rPr>
              <w:t>D</w:t>
            </w:r>
            <w:r w:rsidRPr="008231B2">
              <w:rPr>
                <w:b/>
              </w:rPr>
              <w:t>irect</w:t>
            </w:r>
            <w:r w:rsidR="008C74AE">
              <w:rPr>
                <w:b/>
              </w:rPr>
              <w:t xml:space="preserve"> </w:t>
            </w:r>
            <w:r w:rsidRPr="008231B2">
              <w:rPr>
                <w:b/>
              </w:rPr>
              <w:t>participation</w:t>
            </w:r>
          </w:p>
        </w:tc>
        <w:tc>
          <w:tcPr>
            <w:tcW w:w="10267" w:type="dxa"/>
          </w:tcPr>
          <w:p w14:paraId="25195730" w14:textId="02033EF0" w:rsidR="004E40A0" w:rsidRPr="008231B2" w:rsidRDefault="00110B58" w:rsidP="00AD0533">
            <w:pPr>
              <w:jc w:val="both"/>
            </w:pPr>
            <w:r>
              <w:t xml:space="preserve">Argentina, </w:t>
            </w:r>
            <w:r w:rsidR="004E40A0" w:rsidRPr="008231B2">
              <w:t xml:space="preserve">Colombia, Dominican Republic, Guatemala, Mexico, </w:t>
            </w:r>
            <w:r w:rsidR="00257271">
              <w:t xml:space="preserve">Nigeria, Paraguay, </w:t>
            </w:r>
            <w:r w:rsidR="004E40A0" w:rsidRPr="008231B2">
              <w:t>Uruguay, USA</w:t>
            </w:r>
          </w:p>
        </w:tc>
        <w:tc>
          <w:tcPr>
            <w:tcW w:w="805" w:type="dxa"/>
          </w:tcPr>
          <w:p w14:paraId="0C5E6BEF" w14:textId="04860924" w:rsidR="004E40A0" w:rsidRPr="008231B2" w:rsidRDefault="004E40A0" w:rsidP="00AD0533">
            <w:pPr>
              <w:jc w:val="both"/>
            </w:pPr>
          </w:p>
        </w:tc>
        <w:tc>
          <w:tcPr>
            <w:tcW w:w="721" w:type="dxa"/>
          </w:tcPr>
          <w:p w14:paraId="1D5F7775" w14:textId="556C6E16" w:rsidR="004E40A0" w:rsidRPr="008231B2" w:rsidRDefault="00110B58" w:rsidP="00AD0533">
            <w:pPr>
              <w:jc w:val="both"/>
              <w:rPr>
                <w:b/>
              </w:rPr>
            </w:pPr>
            <w:r>
              <w:rPr>
                <w:b/>
              </w:rPr>
              <w:t>17</w:t>
            </w:r>
          </w:p>
        </w:tc>
      </w:tr>
      <w:tr w:rsidR="004E40A0" w14:paraId="3BD0FCEB" w14:textId="77777777" w:rsidTr="0025534A">
        <w:tc>
          <w:tcPr>
            <w:tcW w:w="3243" w:type="dxa"/>
          </w:tcPr>
          <w:p w14:paraId="5939D4B8" w14:textId="5E70E06C" w:rsidR="004E40A0" w:rsidRPr="008231B2" w:rsidRDefault="004E40A0" w:rsidP="00AD0533">
            <w:pPr>
              <w:jc w:val="center"/>
            </w:pPr>
            <w:r w:rsidRPr="008231B2">
              <w:rPr>
                <w:b/>
              </w:rPr>
              <w:t>Total</w:t>
            </w:r>
          </w:p>
        </w:tc>
        <w:tc>
          <w:tcPr>
            <w:tcW w:w="10267" w:type="dxa"/>
          </w:tcPr>
          <w:p w14:paraId="34064F44" w14:textId="77777777" w:rsidR="004E40A0" w:rsidRPr="008231B2" w:rsidRDefault="004E40A0" w:rsidP="00AD0533">
            <w:pPr>
              <w:jc w:val="both"/>
            </w:pPr>
          </w:p>
        </w:tc>
        <w:tc>
          <w:tcPr>
            <w:tcW w:w="805" w:type="dxa"/>
          </w:tcPr>
          <w:p w14:paraId="66002D47" w14:textId="0C765E24" w:rsidR="004E40A0" w:rsidRPr="008231B2" w:rsidRDefault="004E40A0" w:rsidP="00AD0533">
            <w:pPr>
              <w:jc w:val="both"/>
            </w:pPr>
          </w:p>
        </w:tc>
        <w:tc>
          <w:tcPr>
            <w:tcW w:w="721" w:type="dxa"/>
          </w:tcPr>
          <w:p w14:paraId="2FD5E578" w14:textId="1EA38409" w:rsidR="004E40A0" w:rsidRPr="008231B2" w:rsidRDefault="00110B58" w:rsidP="00AD0533">
            <w:pPr>
              <w:jc w:val="both"/>
              <w:rPr>
                <w:b/>
              </w:rPr>
            </w:pPr>
            <w:r>
              <w:rPr>
                <w:b/>
              </w:rPr>
              <w:t>117</w:t>
            </w:r>
          </w:p>
        </w:tc>
      </w:tr>
      <w:tr w:rsidR="004E40A0" w14:paraId="05FAF080" w14:textId="77777777" w:rsidTr="0025534A">
        <w:tc>
          <w:tcPr>
            <w:tcW w:w="3243" w:type="dxa"/>
          </w:tcPr>
          <w:p w14:paraId="624F3CA6" w14:textId="62C4CD55" w:rsidR="004E40A0" w:rsidRPr="008231B2" w:rsidRDefault="004E40A0" w:rsidP="00AD0533">
            <w:pPr>
              <w:jc w:val="center"/>
            </w:pPr>
            <w:r w:rsidRPr="008231B2">
              <w:rPr>
                <w:b/>
              </w:rPr>
              <w:t>Total discrete commitments</w:t>
            </w:r>
            <w:r w:rsidRPr="008231B2">
              <w:rPr>
                <w:rStyle w:val="FootnoteReference"/>
                <w:b/>
              </w:rPr>
              <w:footnoteReference w:id="7"/>
            </w:r>
          </w:p>
        </w:tc>
        <w:tc>
          <w:tcPr>
            <w:tcW w:w="10267" w:type="dxa"/>
          </w:tcPr>
          <w:p w14:paraId="4B741DEA" w14:textId="77777777" w:rsidR="004E40A0" w:rsidRPr="008231B2" w:rsidRDefault="004E40A0" w:rsidP="00AD0533">
            <w:pPr>
              <w:jc w:val="both"/>
            </w:pPr>
          </w:p>
        </w:tc>
        <w:tc>
          <w:tcPr>
            <w:tcW w:w="805" w:type="dxa"/>
          </w:tcPr>
          <w:p w14:paraId="04CB2C48" w14:textId="51AF4197" w:rsidR="004E40A0" w:rsidRPr="008231B2" w:rsidRDefault="004E40A0" w:rsidP="00AD0533">
            <w:pPr>
              <w:jc w:val="both"/>
            </w:pPr>
          </w:p>
        </w:tc>
        <w:tc>
          <w:tcPr>
            <w:tcW w:w="721" w:type="dxa"/>
          </w:tcPr>
          <w:p w14:paraId="016E77EA" w14:textId="4CF5B69A" w:rsidR="004E40A0" w:rsidRPr="008231B2" w:rsidRDefault="00110B58" w:rsidP="00AD0533">
            <w:pPr>
              <w:jc w:val="both"/>
              <w:rPr>
                <w:b/>
              </w:rPr>
            </w:pPr>
            <w:r>
              <w:rPr>
                <w:b/>
              </w:rPr>
              <w:t>81</w:t>
            </w:r>
          </w:p>
        </w:tc>
      </w:tr>
    </w:tbl>
    <w:p w14:paraId="3138225D" w14:textId="0A921E35" w:rsidR="00241347" w:rsidRDefault="00241347" w:rsidP="00241347">
      <w:pPr>
        <w:tabs>
          <w:tab w:val="left" w:pos="2260"/>
        </w:tabs>
        <w:sectPr w:rsidR="00241347" w:rsidSect="003070B5">
          <w:pgSz w:w="16838" w:h="11906" w:orient="landscape"/>
          <w:pgMar w:top="1440" w:right="1440" w:bottom="1440" w:left="1440" w:header="708" w:footer="708" w:gutter="0"/>
          <w:cols w:space="708"/>
          <w:docGrid w:linePitch="360"/>
        </w:sectPr>
      </w:pPr>
    </w:p>
    <w:p w14:paraId="0226C249" w14:textId="375024F7" w:rsidR="00241347" w:rsidRDefault="00241347" w:rsidP="00241347">
      <w:pPr>
        <w:tabs>
          <w:tab w:val="left" w:pos="2260"/>
        </w:tabs>
        <w:rPr>
          <w:sz w:val="24"/>
          <w:szCs w:val="24"/>
        </w:rPr>
      </w:pPr>
      <w:r w:rsidRPr="00E9763A">
        <w:rPr>
          <w:sz w:val="24"/>
          <w:szCs w:val="24"/>
        </w:rPr>
        <w:lastRenderedPageBreak/>
        <w:t>T</w:t>
      </w:r>
      <w:r w:rsidR="00DE53D7">
        <w:rPr>
          <w:sz w:val="24"/>
          <w:szCs w:val="24"/>
        </w:rPr>
        <w:t>hree</w:t>
      </w:r>
      <w:r w:rsidRPr="00E9763A">
        <w:rPr>
          <w:sz w:val="24"/>
          <w:szCs w:val="24"/>
        </w:rPr>
        <w:t xml:space="preserve"> other areas of importance to </w:t>
      </w:r>
      <w:r w:rsidR="00DE53D7">
        <w:rPr>
          <w:sz w:val="24"/>
          <w:szCs w:val="24"/>
        </w:rPr>
        <w:t>‘</w:t>
      </w:r>
      <w:r w:rsidRPr="00E9763A">
        <w:rPr>
          <w:sz w:val="24"/>
          <w:szCs w:val="24"/>
        </w:rPr>
        <w:t>putting the citizen at the centre of fiscal openness’ are:</w:t>
      </w:r>
    </w:p>
    <w:p w14:paraId="23F82BB6" w14:textId="01BA7BA8" w:rsidR="00241347" w:rsidRDefault="00241347" w:rsidP="00241347">
      <w:pPr>
        <w:pStyle w:val="ListParagraph"/>
        <w:numPr>
          <w:ilvl w:val="0"/>
          <w:numId w:val="19"/>
        </w:numPr>
        <w:tabs>
          <w:tab w:val="left" w:pos="2260"/>
        </w:tabs>
        <w:rPr>
          <w:sz w:val="24"/>
          <w:szCs w:val="24"/>
        </w:rPr>
      </w:pPr>
      <w:r>
        <w:rPr>
          <w:sz w:val="24"/>
          <w:szCs w:val="24"/>
        </w:rPr>
        <w:t xml:space="preserve">Open fiscal data: there are </w:t>
      </w:r>
      <w:r w:rsidR="000A192C">
        <w:rPr>
          <w:sz w:val="24"/>
          <w:szCs w:val="24"/>
        </w:rPr>
        <w:t>7</w:t>
      </w:r>
      <w:r>
        <w:rPr>
          <w:sz w:val="24"/>
          <w:szCs w:val="24"/>
        </w:rPr>
        <w:t xml:space="preserve"> commitments in this area, relating to open contracting data, or, in the case of the USA, making all federal spending available in open data formats.</w:t>
      </w:r>
    </w:p>
    <w:p w14:paraId="02B199A6" w14:textId="63428C93" w:rsidR="00241347" w:rsidRPr="00E9763A" w:rsidRDefault="00241347" w:rsidP="00241347">
      <w:pPr>
        <w:pStyle w:val="ListParagraph"/>
        <w:numPr>
          <w:ilvl w:val="0"/>
          <w:numId w:val="19"/>
        </w:numPr>
        <w:tabs>
          <w:tab w:val="left" w:pos="2260"/>
        </w:tabs>
        <w:rPr>
          <w:sz w:val="24"/>
          <w:szCs w:val="24"/>
        </w:rPr>
      </w:pPr>
      <w:r>
        <w:rPr>
          <w:sz w:val="24"/>
          <w:szCs w:val="24"/>
        </w:rPr>
        <w:t xml:space="preserve">Tax transparency and accountability: there are </w:t>
      </w:r>
      <w:r w:rsidR="000A192C">
        <w:rPr>
          <w:sz w:val="24"/>
          <w:szCs w:val="24"/>
        </w:rPr>
        <w:t>8</w:t>
      </w:r>
      <w:r>
        <w:rPr>
          <w:sz w:val="24"/>
          <w:szCs w:val="24"/>
        </w:rPr>
        <w:t xml:space="preserve"> commitments relating to EITI</w:t>
      </w:r>
      <w:r w:rsidR="000A192C">
        <w:rPr>
          <w:sz w:val="24"/>
          <w:szCs w:val="24"/>
        </w:rPr>
        <w:t xml:space="preserve"> or to other elements of resource revenue transparency</w:t>
      </w:r>
      <w:r>
        <w:rPr>
          <w:sz w:val="24"/>
          <w:szCs w:val="24"/>
        </w:rPr>
        <w:t xml:space="preserve">, and </w:t>
      </w:r>
      <w:r w:rsidR="000A192C">
        <w:rPr>
          <w:sz w:val="24"/>
          <w:szCs w:val="24"/>
        </w:rPr>
        <w:t>5</w:t>
      </w:r>
      <w:r>
        <w:rPr>
          <w:sz w:val="24"/>
          <w:szCs w:val="24"/>
        </w:rPr>
        <w:t xml:space="preserve"> others relating to general revenue transparency. One of these, commitment </w:t>
      </w:r>
      <w:r w:rsidR="00DE53D7">
        <w:rPr>
          <w:sz w:val="24"/>
          <w:szCs w:val="24"/>
        </w:rPr>
        <w:t>20</w:t>
      </w:r>
      <w:r>
        <w:rPr>
          <w:sz w:val="24"/>
          <w:szCs w:val="24"/>
        </w:rPr>
        <w:t xml:space="preserve"> in Guatemala’s Action Plan, is a multi-dimensional commitment in response to major loss of integrity in the Tax Administration Authority: </w:t>
      </w:r>
      <w:r w:rsidR="00DE53D7">
        <w:rPr>
          <w:sz w:val="24"/>
          <w:szCs w:val="24"/>
        </w:rPr>
        <w:t>‘</w:t>
      </w:r>
      <w:r w:rsidRPr="00017A2A">
        <w:rPr>
          <w:sz w:val="24"/>
          <w:szCs w:val="24"/>
        </w:rPr>
        <w:t>Promote tax transparency by establishing mechanisms that facilitate access to tax information in open data formats, modernizing the taxpayer registry, publishing the SAT's institutional results against the goals set out in its work plan 2016-2020, publication of studies on tax evasion, provide tax collection information by region and department, and continuing efforts to comply with the OECD’s Global Tax Transparency Forum Standard.  Citizen tax morale improves.</w:t>
      </w:r>
      <w:r>
        <w:rPr>
          <w:sz w:val="24"/>
          <w:szCs w:val="24"/>
        </w:rPr>
        <w:t>’</w:t>
      </w:r>
    </w:p>
    <w:p w14:paraId="6DA1D6FC" w14:textId="77777777" w:rsidR="00241347" w:rsidRPr="00E9763A" w:rsidRDefault="00241347" w:rsidP="00241347">
      <w:pPr>
        <w:pStyle w:val="ListParagraph"/>
        <w:numPr>
          <w:ilvl w:val="0"/>
          <w:numId w:val="16"/>
        </w:numPr>
        <w:tabs>
          <w:tab w:val="left" w:pos="2260"/>
        </w:tabs>
        <w:rPr>
          <w:sz w:val="28"/>
          <w:szCs w:val="28"/>
        </w:rPr>
        <w:sectPr w:rsidR="00241347" w:rsidRPr="00E9763A" w:rsidSect="00472179">
          <w:pgSz w:w="11906" w:h="16838"/>
          <w:pgMar w:top="1440" w:right="1440" w:bottom="1440" w:left="1440" w:header="708" w:footer="708" w:gutter="0"/>
          <w:cols w:space="708"/>
          <w:docGrid w:linePitch="360"/>
        </w:sectPr>
      </w:pPr>
      <w:r w:rsidRPr="00E9763A">
        <w:rPr>
          <w:sz w:val="24"/>
          <w:szCs w:val="24"/>
        </w:rPr>
        <w:t xml:space="preserve">USA commitment 34, To advance participatory budgeting in the United States, the White House will work with communities, non-profits, civic technologists, and foundation partners to develop new commitments that will expand the use of participatory budgeting. </w:t>
      </w:r>
    </w:p>
    <w:p w14:paraId="4F7E76F2" w14:textId="429644D5" w:rsidR="00E73CF5" w:rsidRPr="00DE53D7" w:rsidRDefault="00241347">
      <w:pPr>
        <w:rPr>
          <w:b/>
        </w:rPr>
      </w:pPr>
      <w:r>
        <w:lastRenderedPageBreak/>
        <w:t>A</w:t>
      </w:r>
      <w:r w:rsidR="00E17717" w:rsidRPr="00241347">
        <w:rPr>
          <w:b/>
        </w:rPr>
        <w:t>nnex 1: Summary of fiscal transparency commitments in the current OGP Action Plans of GIFT Stewards.</w:t>
      </w:r>
    </w:p>
    <w:tbl>
      <w:tblPr>
        <w:tblStyle w:val="TableGrid1"/>
        <w:tblpPr w:leftFromText="180" w:rightFromText="180" w:vertAnchor="text" w:tblpY="1"/>
        <w:tblOverlap w:val="never"/>
        <w:tblW w:w="14596" w:type="dxa"/>
        <w:tblLayout w:type="fixed"/>
        <w:tblLook w:val="04A0" w:firstRow="1" w:lastRow="0" w:firstColumn="1" w:lastColumn="0" w:noHBand="0" w:noVBand="1"/>
      </w:tblPr>
      <w:tblGrid>
        <w:gridCol w:w="1413"/>
        <w:gridCol w:w="1134"/>
        <w:gridCol w:w="12049"/>
      </w:tblGrid>
      <w:tr w:rsidR="00E73CF5" w:rsidRPr="00E73CF5" w14:paraId="510C9F6E" w14:textId="77777777" w:rsidTr="000A5230">
        <w:tc>
          <w:tcPr>
            <w:tcW w:w="1413" w:type="dxa"/>
          </w:tcPr>
          <w:p w14:paraId="03EE53AB" w14:textId="77777777" w:rsidR="00E73CF5" w:rsidRPr="00E73CF5" w:rsidRDefault="00E73CF5" w:rsidP="00E73CF5">
            <w:pPr>
              <w:jc w:val="center"/>
              <w:rPr>
                <w:rFonts w:ascii="Calibri" w:eastAsia="Times New Roman" w:hAnsi="Calibri" w:cs="Times New Roman"/>
                <w:b/>
                <w:bCs/>
                <w:color w:val="000000"/>
                <w:lang w:eastAsia="en-NZ"/>
              </w:rPr>
            </w:pPr>
            <w:r w:rsidRPr="00E73CF5">
              <w:rPr>
                <w:rFonts w:ascii="Calibri" w:eastAsia="Times New Roman" w:hAnsi="Calibri" w:cs="Times New Roman"/>
                <w:b/>
                <w:bCs/>
                <w:color w:val="000000"/>
                <w:lang w:eastAsia="en-NZ"/>
              </w:rPr>
              <w:t>High-Level Principle</w:t>
            </w:r>
          </w:p>
          <w:p w14:paraId="690C8AB5" w14:textId="77777777" w:rsidR="00E73CF5" w:rsidRPr="00E73CF5" w:rsidRDefault="00E73CF5" w:rsidP="00E73CF5">
            <w:pPr>
              <w:jc w:val="center"/>
              <w:rPr>
                <w:rFonts w:ascii="Calibri" w:eastAsia="Times New Roman" w:hAnsi="Calibri" w:cs="Times New Roman"/>
                <w:b/>
                <w:bCs/>
                <w:color w:val="000000"/>
                <w:lang w:eastAsia="en-NZ"/>
              </w:rPr>
            </w:pPr>
            <w:r w:rsidRPr="00E73CF5">
              <w:rPr>
                <w:rFonts w:ascii="Calibri" w:eastAsia="Times New Roman" w:hAnsi="Calibri" w:cs="Times New Roman"/>
                <w:b/>
                <w:bCs/>
                <w:color w:val="000000"/>
                <w:lang w:eastAsia="en-NZ"/>
              </w:rPr>
              <w:t>#</w:t>
            </w:r>
          </w:p>
        </w:tc>
        <w:tc>
          <w:tcPr>
            <w:tcW w:w="1134" w:type="dxa"/>
          </w:tcPr>
          <w:p w14:paraId="21322C72" w14:textId="0B17C1AA" w:rsidR="00E73CF5" w:rsidRPr="00E73CF5" w:rsidRDefault="00E73CF5" w:rsidP="00E73CF5">
            <w:pPr>
              <w:jc w:val="center"/>
              <w:rPr>
                <w:rFonts w:ascii="Calibri" w:eastAsia="Times New Roman" w:hAnsi="Calibri" w:cs="Times New Roman"/>
                <w:b/>
                <w:bCs/>
                <w:color w:val="000000"/>
                <w:lang w:eastAsia="en-NZ"/>
              </w:rPr>
            </w:pPr>
            <w:r w:rsidRPr="00E73CF5">
              <w:rPr>
                <w:rFonts w:ascii="Calibri" w:eastAsia="Times New Roman" w:hAnsi="Calibri" w:cs="Times New Roman"/>
                <w:b/>
                <w:bCs/>
                <w:color w:val="000000"/>
                <w:lang w:eastAsia="en-NZ"/>
              </w:rPr>
              <w:t xml:space="preserve">Country </w:t>
            </w:r>
          </w:p>
        </w:tc>
        <w:tc>
          <w:tcPr>
            <w:tcW w:w="12049" w:type="dxa"/>
            <w:vAlign w:val="bottom"/>
          </w:tcPr>
          <w:p w14:paraId="1CDFCEC8" w14:textId="77777777" w:rsidR="00E73CF5" w:rsidRPr="00E73CF5" w:rsidRDefault="00E73CF5" w:rsidP="00E73CF5">
            <w:pPr>
              <w:jc w:val="center"/>
              <w:rPr>
                <w:rFonts w:ascii="Calibri" w:eastAsia="Times New Roman" w:hAnsi="Calibri" w:cs="Times New Roman"/>
                <w:b/>
                <w:bCs/>
                <w:color w:val="000000"/>
                <w:lang w:eastAsia="en-NZ"/>
              </w:rPr>
            </w:pPr>
            <w:r w:rsidRPr="00E73CF5">
              <w:rPr>
                <w:rFonts w:ascii="Calibri" w:eastAsia="Times New Roman" w:hAnsi="Calibri" w:cs="Times New Roman"/>
                <w:b/>
                <w:bCs/>
                <w:color w:val="000000"/>
                <w:lang w:eastAsia="en-NZ"/>
              </w:rPr>
              <w:t>Commitment Number and Summary of Activity</w:t>
            </w:r>
          </w:p>
        </w:tc>
      </w:tr>
      <w:tr w:rsidR="00E73CF5" w:rsidRPr="00E73CF5" w14:paraId="3ECD96E6" w14:textId="77777777" w:rsidTr="000A5230">
        <w:tc>
          <w:tcPr>
            <w:tcW w:w="1413" w:type="dxa"/>
          </w:tcPr>
          <w:p w14:paraId="6C4D1174" w14:textId="77777777" w:rsidR="00E73CF5" w:rsidRPr="00E73CF5" w:rsidRDefault="00E73CF5" w:rsidP="00E73CF5">
            <w:pPr>
              <w:rPr>
                <w:b/>
                <w:sz w:val="20"/>
                <w:szCs w:val="20"/>
              </w:rPr>
            </w:pPr>
            <w:r w:rsidRPr="00E73CF5">
              <w:rPr>
                <w:b/>
                <w:sz w:val="20"/>
                <w:szCs w:val="20"/>
              </w:rPr>
              <w:t>HLP 1: Right to fiscal information</w:t>
            </w:r>
          </w:p>
          <w:p w14:paraId="63A38ED1" w14:textId="77777777" w:rsidR="00E73CF5" w:rsidRPr="00E73CF5" w:rsidRDefault="00E73CF5" w:rsidP="00E73CF5">
            <w:pPr>
              <w:ind w:left="720"/>
              <w:contextualSpacing/>
              <w:rPr>
                <w:b/>
                <w:sz w:val="20"/>
                <w:szCs w:val="20"/>
              </w:rPr>
            </w:pPr>
          </w:p>
        </w:tc>
        <w:tc>
          <w:tcPr>
            <w:tcW w:w="1134" w:type="dxa"/>
          </w:tcPr>
          <w:p w14:paraId="14AAD58D" w14:textId="42C93AEB" w:rsidR="00E73CF5" w:rsidRPr="00E73CF5" w:rsidRDefault="00110B58" w:rsidP="0025534A">
            <w:pPr>
              <w:jc w:val="center"/>
              <w:rPr>
                <w:sz w:val="20"/>
                <w:szCs w:val="20"/>
              </w:rPr>
            </w:pPr>
            <w:r>
              <w:rPr>
                <w:sz w:val="20"/>
                <w:szCs w:val="20"/>
              </w:rPr>
              <w:t>None</w:t>
            </w:r>
          </w:p>
        </w:tc>
        <w:tc>
          <w:tcPr>
            <w:tcW w:w="12049" w:type="dxa"/>
          </w:tcPr>
          <w:p w14:paraId="78CF2BBB" w14:textId="77777777" w:rsidR="00E73CF5" w:rsidRPr="00E73CF5" w:rsidRDefault="00E73CF5" w:rsidP="00E73CF5">
            <w:pPr>
              <w:rPr>
                <w:sz w:val="20"/>
                <w:szCs w:val="20"/>
              </w:rPr>
            </w:pPr>
          </w:p>
        </w:tc>
      </w:tr>
      <w:tr w:rsidR="00E73CF5" w:rsidRPr="00E73CF5" w14:paraId="3D63366F" w14:textId="77777777" w:rsidTr="000A5230">
        <w:tc>
          <w:tcPr>
            <w:tcW w:w="1413" w:type="dxa"/>
          </w:tcPr>
          <w:p w14:paraId="5D785559" w14:textId="77777777" w:rsidR="00E73CF5" w:rsidRPr="00E73CF5" w:rsidRDefault="00E73CF5" w:rsidP="00E73CF5">
            <w:pPr>
              <w:rPr>
                <w:b/>
                <w:sz w:val="20"/>
                <w:szCs w:val="20"/>
              </w:rPr>
            </w:pPr>
          </w:p>
        </w:tc>
        <w:tc>
          <w:tcPr>
            <w:tcW w:w="1134" w:type="dxa"/>
          </w:tcPr>
          <w:p w14:paraId="6C6F2F5D" w14:textId="296D5D91" w:rsidR="00E73CF5" w:rsidRPr="00E73CF5" w:rsidRDefault="00E73CF5" w:rsidP="00E73CF5">
            <w:pPr>
              <w:jc w:val="center"/>
              <w:rPr>
                <w:sz w:val="20"/>
                <w:szCs w:val="20"/>
              </w:rPr>
            </w:pPr>
          </w:p>
        </w:tc>
        <w:tc>
          <w:tcPr>
            <w:tcW w:w="12049" w:type="dxa"/>
          </w:tcPr>
          <w:p w14:paraId="0079028B" w14:textId="59AB6316" w:rsidR="00E73CF5" w:rsidRPr="00E73CF5" w:rsidRDefault="00E73CF5" w:rsidP="00E73CF5">
            <w:pPr>
              <w:rPr>
                <w:sz w:val="20"/>
                <w:szCs w:val="20"/>
              </w:rPr>
            </w:pPr>
          </w:p>
        </w:tc>
      </w:tr>
      <w:tr w:rsidR="00E73CF5" w:rsidRPr="00E73CF5" w14:paraId="2CDC146E" w14:textId="77777777" w:rsidTr="000A5230">
        <w:tc>
          <w:tcPr>
            <w:tcW w:w="1413" w:type="dxa"/>
          </w:tcPr>
          <w:p w14:paraId="222C130C" w14:textId="77777777" w:rsidR="00E73CF5" w:rsidRPr="00E73CF5" w:rsidRDefault="00E73CF5" w:rsidP="00E73CF5">
            <w:pPr>
              <w:rPr>
                <w:rFonts w:ascii="Calibri" w:eastAsia="Times New Roman" w:hAnsi="Calibri" w:cs="Times New Roman"/>
                <w:b/>
                <w:bCs/>
                <w:color w:val="000000"/>
                <w:sz w:val="24"/>
                <w:szCs w:val="24"/>
                <w:lang w:eastAsia="en-NZ"/>
              </w:rPr>
            </w:pPr>
            <w:r w:rsidRPr="00E73CF5">
              <w:rPr>
                <w:rFonts w:ascii="Calibri" w:eastAsia="Times New Roman" w:hAnsi="Calibri" w:cs="Times New Roman"/>
                <w:b/>
                <w:color w:val="000000"/>
                <w:sz w:val="20"/>
                <w:szCs w:val="20"/>
                <w:lang w:eastAsia="en-NZ"/>
              </w:rPr>
              <w:t>HLP 2: Aggregate fiscal policy</w:t>
            </w:r>
          </w:p>
        </w:tc>
        <w:tc>
          <w:tcPr>
            <w:tcW w:w="1134" w:type="dxa"/>
          </w:tcPr>
          <w:p w14:paraId="0FE386AF" w14:textId="77777777" w:rsidR="00E73CF5" w:rsidRPr="00E73CF5" w:rsidRDefault="00E73CF5" w:rsidP="00E73CF5">
            <w:pPr>
              <w:jc w:val="center"/>
              <w:rPr>
                <w:rFonts w:ascii="Calibri" w:eastAsia="Times New Roman" w:hAnsi="Calibri" w:cs="Times New Roman"/>
                <w:bCs/>
                <w:color w:val="000000"/>
                <w:sz w:val="24"/>
                <w:szCs w:val="24"/>
                <w:lang w:eastAsia="en-NZ"/>
              </w:rPr>
            </w:pPr>
            <w:r w:rsidRPr="00E73CF5">
              <w:rPr>
                <w:sz w:val="20"/>
                <w:szCs w:val="20"/>
              </w:rPr>
              <w:t>None</w:t>
            </w:r>
          </w:p>
        </w:tc>
        <w:tc>
          <w:tcPr>
            <w:tcW w:w="12049" w:type="dxa"/>
            <w:vAlign w:val="bottom"/>
          </w:tcPr>
          <w:p w14:paraId="26B29A74" w14:textId="77777777" w:rsidR="00E73CF5" w:rsidRPr="00E73CF5" w:rsidRDefault="00E73CF5" w:rsidP="00E73CF5">
            <w:pPr>
              <w:rPr>
                <w:rFonts w:ascii="Calibri" w:eastAsia="Times New Roman" w:hAnsi="Calibri" w:cs="Times New Roman"/>
                <w:bCs/>
                <w:color w:val="000000"/>
                <w:sz w:val="24"/>
                <w:szCs w:val="24"/>
                <w:lang w:eastAsia="en-NZ"/>
              </w:rPr>
            </w:pPr>
          </w:p>
        </w:tc>
      </w:tr>
      <w:tr w:rsidR="00E73CF5" w:rsidRPr="00E73CF5" w14:paraId="4736F4DD" w14:textId="77777777" w:rsidTr="000A5230">
        <w:tc>
          <w:tcPr>
            <w:tcW w:w="1413" w:type="dxa"/>
          </w:tcPr>
          <w:p w14:paraId="120893F5" w14:textId="77777777" w:rsidR="00E73CF5" w:rsidRPr="00E73CF5" w:rsidRDefault="00E73CF5" w:rsidP="00E73CF5">
            <w:pPr>
              <w:rPr>
                <w:rFonts w:ascii="Calibri" w:eastAsia="Times New Roman" w:hAnsi="Calibri" w:cs="Times New Roman"/>
                <w:b/>
                <w:bCs/>
                <w:color w:val="000000"/>
                <w:sz w:val="20"/>
                <w:szCs w:val="20"/>
                <w:lang w:eastAsia="en-NZ"/>
              </w:rPr>
            </w:pPr>
            <w:r w:rsidRPr="00E73CF5">
              <w:rPr>
                <w:rFonts w:ascii="Calibri" w:eastAsia="Times New Roman" w:hAnsi="Calibri" w:cs="Times New Roman"/>
                <w:b/>
                <w:bCs/>
                <w:color w:val="000000"/>
                <w:sz w:val="20"/>
                <w:szCs w:val="20"/>
                <w:lang w:eastAsia="en-NZ"/>
              </w:rPr>
              <w:t>HLP 3: Past, present and forecast fiscal information</w:t>
            </w:r>
          </w:p>
        </w:tc>
        <w:tc>
          <w:tcPr>
            <w:tcW w:w="1134" w:type="dxa"/>
          </w:tcPr>
          <w:p w14:paraId="6E20E93B" w14:textId="77777777" w:rsidR="00E73CF5" w:rsidRPr="00E73CF5" w:rsidRDefault="00E73CF5" w:rsidP="00E73CF5">
            <w:pPr>
              <w:jc w:val="center"/>
              <w:rPr>
                <w:sz w:val="20"/>
                <w:szCs w:val="20"/>
              </w:rPr>
            </w:pPr>
          </w:p>
        </w:tc>
        <w:tc>
          <w:tcPr>
            <w:tcW w:w="12049" w:type="dxa"/>
          </w:tcPr>
          <w:p w14:paraId="7FA0645B" w14:textId="77777777" w:rsidR="00E73CF5" w:rsidRPr="00E73CF5" w:rsidRDefault="00E73CF5" w:rsidP="00E73CF5">
            <w:pPr>
              <w:rPr>
                <w:sz w:val="20"/>
                <w:szCs w:val="20"/>
              </w:rPr>
            </w:pPr>
          </w:p>
        </w:tc>
      </w:tr>
      <w:tr w:rsidR="00E73CF5" w:rsidRPr="00E73CF5" w14:paraId="62C185CA" w14:textId="77777777" w:rsidTr="000A5230">
        <w:tc>
          <w:tcPr>
            <w:tcW w:w="1413" w:type="dxa"/>
          </w:tcPr>
          <w:p w14:paraId="225C9B3A" w14:textId="77777777" w:rsidR="00E73CF5" w:rsidRPr="00E73CF5" w:rsidRDefault="00E73CF5" w:rsidP="00E73CF5">
            <w:pPr>
              <w:jc w:val="both"/>
              <w:rPr>
                <w:rFonts w:ascii="Calibri" w:eastAsia="Times New Roman" w:hAnsi="Calibri" w:cs="Times New Roman"/>
                <w:b/>
                <w:bCs/>
                <w:color w:val="000000"/>
                <w:sz w:val="20"/>
                <w:szCs w:val="20"/>
                <w:lang w:eastAsia="en-NZ"/>
              </w:rPr>
            </w:pPr>
            <w:r w:rsidRPr="00E73CF5">
              <w:rPr>
                <w:rFonts w:ascii="Calibri" w:eastAsia="Times New Roman" w:hAnsi="Calibri" w:cs="Times New Roman"/>
                <w:b/>
                <w:bCs/>
                <w:color w:val="000000"/>
                <w:sz w:val="20"/>
                <w:szCs w:val="20"/>
                <w:lang w:eastAsia="en-NZ"/>
              </w:rPr>
              <w:t>a) Budget transparency general</w:t>
            </w:r>
          </w:p>
        </w:tc>
        <w:tc>
          <w:tcPr>
            <w:tcW w:w="1134" w:type="dxa"/>
          </w:tcPr>
          <w:p w14:paraId="55BBCAD9" w14:textId="77777777" w:rsidR="00E73CF5" w:rsidRPr="00E73CF5" w:rsidRDefault="00E73CF5" w:rsidP="00E73CF5">
            <w:pPr>
              <w:jc w:val="center"/>
              <w:rPr>
                <w:sz w:val="20"/>
                <w:szCs w:val="20"/>
              </w:rPr>
            </w:pPr>
          </w:p>
        </w:tc>
        <w:tc>
          <w:tcPr>
            <w:tcW w:w="12049" w:type="dxa"/>
          </w:tcPr>
          <w:p w14:paraId="2061CB50" w14:textId="77777777" w:rsidR="00E73CF5" w:rsidRPr="00E73CF5" w:rsidRDefault="00E73CF5" w:rsidP="00E73CF5">
            <w:pPr>
              <w:rPr>
                <w:sz w:val="20"/>
                <w:szCs w:val="20"/>
              </w:rPr>
            </w:pPr>
          </w:p>
        </w:tc>
      </w:tr>
      <w:tr w:rsidR="00BA5F36" w:rsidRPr="00E73CF5" w14:paraId="66924275" w14:textId="77777777" w:rsidTr="000A5230">
        <w:tc>
          <w:tcPr>
            <w:tcW w:w="1413" w:type="dxa"/>
          </w:tcPr>
          <w:p w14:paraId="7DD3972C" w14:textId="77777777" w:rsidR="00BA5F36" w:rsidRPr="00E73CF5" w:rsidRDefault="00BA5F36" w:rsidP="00E73CF5">
            <w:pPr>
              <w:rPr>
                <w:sz w:val="20"/>
                <w:szCs w:val="20"/>
              </w:rPr>
            </w:pPr>
          </w:p>
        </w:tc>
        <w:tc>
          <w:tcPr>
            <w:tcW w:w="1134" w:type="dxa"/>
          </w:tcPr>
          <w:p w14:paraId="395B81A6" w14:textId="48A3C912" w:rsidR="00BA5F36" w:rsidRDefault="00BA5F36" w:rsidP="00E73CF5">
            <w:pPr>
              <w:jc w:val="center"/>
              <w:rPr>
                <w:sz w:val="20"/>
                <w:szCs w:val="20"/>
              </w:rPr>
            </w:pPr>
            <w:r>
              <w:rPr>
                <w:sz w:val="20"/>
                <w:szCs w:val="20"/>
              </w:rPr>
              <w:t>Argentina</w:t>
            </w:r>
          </w:p>
        </w:tc>
        <w:tc>
          <w:tcPr>
            <w:tcW w:w="12049" w:type="dxa"/>
          </w:tcPr>
          <w:p w14:paraId="06899127" w14:textId="1C931C24" w:rsidR="00BA5F36" w:rsidRPr="008F535E" w:rsidRDefault="00BA5F36" w:rsidP="008F535E">
            <w:pPr>
              <w:rPr>
                <w:sz w:val="20"/>
                <w:szCs w:val="20"/>
              </w:rPr>
            </w:pPr>
            <w:r w:rsidRPr="00BA5F36">
              <w:rPr>
                <w:sz w:val="20"/>
                <w:szCs w:val="20"/>
              </w:rPr>
              <w:t>5) Bring the budget closer to the citizen (Ministry of Finance)</w:t>
            </w:r>
            <w:r>
              <w:rPr>
                <w:sz w:val="20"/>
                <w:szCs w:val="20"/>
              </w:rPr>
              <w:t xml:space="preserve">. </w:t>
            </w:r>
            <w:r w:rsidRPr="00BA5F36">
              <w:rPr>
                <w:sz w:val="20"/>
                <w:szCs w:val="20"/>
              </w:rPr>
              <w:t>A tool will be developed that allows an effective communication, to the citizen not specialized in the subject, of the main budget policies, programs and services, maximizing the use of communication tools and different combinations of data exposure and thematic. Citizens Budget.</w:t>
            </w:r>
          </w:p>
        </w:tc>
      </w:tr>
      <w:tr w:rsidR="00533DCC" w:rsidRPr="00E73CF5" w14:paraId="24562F99" w14:textId="77777777" w:rsidTr="000A5230">
        <w:tc>
          <w:tcPr>
            <w:tcW w:w="1413" w:type="dxa"/>
          </w:tcPr>
          <w:p w14:paraId="3E148498" w14:textId="77777777" w:rsidR="00533DCC" w:rsidRPr="00E73CF5" w:rsidRDefault="00533DCC" w:rsidP="00E73CF5">
            <w:pPr>
              <w:rPr>
                <w:sz w:val="20"/>
                <w:szCs w:val="20"/>
              </w:rPr>
            </w:pPr>
          </w:p>
        </w:tc>
        <w:tc>
          <w:tcPr>
            <w:tcW w:w="1134" w:type="dxa"/>
          </w:tcPr>
          <w:p w14:paraId="342FA0BF" w14:textId="7C9FA387" w:rsidR="00533DCC" w:rsidRDefault="00533DCC" w:rsidP="00E73CF5">
            <w:pPr>
              <w:jc w:val="center"/>
              <w:rPr>
                <w:sz w:val="20"/>
                <w:szCs w:val="20"/>
              </w:rPr>
            </w:pPr>
            <w:r>
              <w:rPr>
                <w:sz w:val="20"/>
                <w:szCs w:val="20"/>
              </w:rPr>
              <w:t>Argentina</w:t>
            </w:r>
          </w:p>
        </w:tc>
        <w:tc>
          <w:tcPr>
            <w:tcW w:w="12049" w:type="dxa"/>
          </w:tcPr>
          <w:p w14:paraId="22369DF3" w14:textId="4D022FE3" w:rsidR="00533DCC" w:rsidRPr="00BA5F36" w:rsidRDefault="00533DCC" w:rsidP="00533DCC">
            <w:pPr>
              <w:rPr>
                <w:sz w:val="20"/>
                <w:szCs w:val="20"/>
              </w:rPr>
            </w:pPr>
            <w:r w:rsidRPr="00533DCC">
              <w:rPr>
                <w:sz w:val="20"/>
                <w:szCs w:val="20"/>
              </w:rPr>
              <w:t>1</w:t>
            </w:r>
            <w:r>
              <w:rPr>
                <w:sz w:val="20"/>
                <w:szCs w:val="20"/>
              </w:rPr>
              <w:t>)</w:t>
            </w:r>
            <w:r w:rsidRPr="00533DCC">
              <w:rPr>
                <w:sz w:val="20"/>
                <w:szCs w:val="20"/>
              </w:rPr>
              <w:t xml:space="preserve"> Capacity building in the analysis of public accounts (Undersecretary of Budget, Ministry of Finance)</w:t>
            </w:r>
            <w:r>
              <w:rPr>
                <w:sz w:val="20"/>
                <w:szCs w:val="20"/>
              </w:rPr>
              <w:t xml:space="preserve">. </w:t>
            </w:r>
            <w:r w:rsidRPr="00533DCC">
              <w:rPr>
                <w:sz w:val="20"/>
                <w:szCs w:val="20"/>
              </w:rPr>
              <w:t>Promote the use of the Citizen's Site (www.sitiodelciudadano.mecon.gov.ar) to enable users of financial information to acquire skills to analy</w:t>
            </w:r>
            <w:r w:rsidR="00EA7718">
              <w:rPr>
                <w:sz w:val="20"/>
                <w:szCs w:val="20"/>
              </w:rPr>
              <w:t>s</w:t>
            </w:r>
            <w:r w:rsidRPr="00533DCC">
              <w:rPr>
                <w:sz w:val="20"/>
                <w:szCs w:val="20"/>
              </w:rPr>
              <w:t xml:space="preserve">e the budget process, </w:t>
            </w:r>
            <w:proofErr w:type="gramStart"/>
            <w:r w:rsidRPr="00533DCC">
              <w:rPr>
                <w:sz w:val="20"/>
                <w:szCs w:val="20"/>
              </w:rPr>
              <w:t>in particular the</w:t>
            </w:r>
            <w:proofErr w:type="gramEnd"/>
            <w:r w:rsidRPr="00533DCC">
              <w:rPr>
                <w:sz w:val="20"/>
                <w:szCs w:val="20"/>
              </w:rPr>
              <w:t xml:space="preserve"> execution of resources and expenses, and the Investment Account as an instrument of accountability of the National Public Sector, promoting the usual use of the Portal Sitio del </w:t>
            </w:r>
            <w:proofErr w:type="spellStart"/>
            <w:r w:rsidRPr="00533DCC">
              <w:rPr>
                <w:sz w:val="20"/>
                <w:szCs w:val="20"/>
              </w:rPr>
              <w:t>Ciudadano</w:t>
            </w:r>
            <w:proofErr w:type="spellEnd"/>
            <w:r w:rsidRPr="00533DCC">
              <w:rPr>
                <w:sz w:val="20"/>
                <w:szCs w:val="20"/>
              </w:rPr>
              <w:t xml:space="preserve"> as a consultation tool.</w:t>
            </w:r>
          </w:p>
        </w:tc>
      </w:tr>
      <w:tr w:rsidR="00E73CF5" w:rsidRPr="00E73CF5" w14:paraId="6AFAC0F4" w14:textId="77777777" w:rsidTr="000A5230">
        <w:tc>
          <w:tcPr>
            <w:tcW w:w="1413" w:type="dxa"/>
          </w:tcPr>
          <w:p w14:paraId="35368C65" w14:textId="77777777" w:rsidR="00E73CF5" w:rsidRPr="00E73CF5" w:rsidRDefault="00E73CF5" w:rsidP="00E73CF5">
            <w:pPr>
              <w:rPr>
                <w:sz w:val="20"/>
                <w:szCs w:val="20"/>
              </w:rPr>
            </w:pPr>
          </w:p>
        </w:tc>
        <w:tc>
          <w:tcPr>
            <w:tcW w:w="1134" w:type="dxa"/>
          </w:tcPr>
          <w:p w14:paraId="5E54552D" w14:textId="77777777" w:rsidR="00E73CF5" w:rsidRDefault="008F535E" w:rsidP="00E73CF5">
            <w:pPr>
              <w:jc w:val="center"/>
              <w:rPr>
                <w:sz w:val="20"/>
                <w:szCs w:val="20"/>
              </w:rPr>
            </w:pPr>
            <w:r>
              <w:rPr>
                <w:sz w:val="20"/>
                <w:szCs w:val="20"/>
              </w:rPr>
              <w:t>Brazil</w:t>
            </w:r>
          </w:p>
          <w:p w14:paraId="08B4DBC2" w14:textId="21E52C6A" w:rsidR="008F535E" w:rsidRPr="00E73CF5" w:rsidRDefault="008F535E" w:rsidP="00E73CF5">
            <w:pPr>
              <w:jc w:val="center"/>
              <w:rPr>
                <w:sz w:val="20"/>
                <w:szCs w:val="20"/>
              </w:rPr>
            </w:pPr>
          </w:p>
        </w:tc>
        <w:tc>
          <w:tcPr>
            <w:tcW w:w="12049" w:type="dxa"/>
          </w:tcPr>
          <w:p w14:paraId="4761D5E6" w14:textId="1E5B2093" w:rsidR="008F535E" w:rsidRPr="008F535E" w:rsidRDefault="008F535E" w:rsidP="008F535E">
            <w:pPr>
              <w:rPr>
                <w:sz w:val="20"/>
                <w:szCs w:val="20"/>
              </w:rPr>
            </w:pPr>
            <w:r w:rsidRPr="008F535E">
              <w:rPr>
                <w:sz w:val="20"/>
                <w:szCs w:val="20"/>
              </w:rPr>
              <w:t>2</w:t>
            </w:r>
            <w:r>
              <w:rPr>
                <w:sz w:val="20"/>
                <w:szCs w:val="20"/>
              </w:rPr>
              <w:t>)</w:t>
            </w:r>
            <w:r w:rsidRPr="008F535E">
              <w:rPr>
                <w:sz w:val="20"/>
                <w:szCs w:val="20"/>
              </w:rPr>
              <w:t xml:space="preserve"> Transparency of public funds (Ministry of Transparency, Oversight and Comptroller General)</w:t>
            </w:r>
          </w:p>
          <w:p w14:paraId="1D5F4585" w14:textId="1500F41A" w:rsidR="00E73CF5" w:rsidRPr="00E73CF5" w:rsidRDefault="008F535E" w:rsidP="008F535E">
            <w:pPr>
              <w:rPr>
                <w:sz w:val="20"/>
                <w:szCs w:val="20"/>
              </w:rPr>
            </w:pPr>
            <w:r w:rsidRPr="008F535E">
              <w:rPr>
                <w:sz w:val="20"/>
                <w:szCs w:val="20"/>
              </w:rPr>
              <w:t>Commitments relating to any efforts explicitly aimed at promoting accessibility to the general public of fiscal data and fiscal information, including open data, data portals, mobile phone apps, plain language guides such as Citizen Budgets, including all activities that try to encourage or facilitate participation (e.g. open data, portals, citizens budgets etc) but that stop short of actual public participation.</w:t>
            </w:r>
          </w:p>
        </w:tc>
      </w:tr>
      <w:tr w:rsidR="00E73CF5" w:rsidRPr="00E73CF5" w14:paraId="02FECC94" w14:textId="77777777" w:rsidTr="000A5230">
        <w:tc>
          <w:tcPr>
            <w:tcW w:w="1413" w:type="dxa"/>
          </w:tcPr>
          <w:p w14:paraId="0A864476" w14:textId="77777777" w:rsidR="00E73CF5" w:rsidRPr="00E73CF5" w:rsidRDefault="00E73CF5" w:rsidP="00E73CF5">
            <w:pPr>
              <w:rPr>
                <w:sz w:val="20"/>
                <w:szCs w:val="20"/>
              </w:rPr>
            </w:pPr>
          </w:p>
        </w:tc>
        <w:tc>
          <w:tcPr>
            <w:tcW w:w="1134" w:type="dxa"/>
          </w:tcPr>
          <w:p w14:paraId="5BFD22A1" w14:textId="77777777" w:rsidR="00E73CF5" w:rsidRPr="00E73CF5" w:rsidRDefault="00E73CF5" w:rsidP="00E73CF5">
            <w:pPr>
              <w:jc w:val="center"/>
              <w:rPr>
                <w:sz w:val="20"/>
                <w:szCs w:val="20"/>
              </w:rPr>
            </w:pPr>
            <w:r w:rsidRPr="00E73CF5">
              <w:rPr>
                <w:sz w:val="20"/>
                <w:szCs w:val="20"/>
              </w:rPr>
              <w:t>Colombia</w:t>
            </w:r>
          </w:p>
          <w:p w14:paraId="19266A6F" w14:textId="6FE5AFF4" w:rsidR="00E73CF5" w:rsidRPr="00E73CF5" w:rsidRDefault="00E73CF5" w:rsidP="00E73CF5">
            <w:pPr>
              <w:jc w:val="center"/>
              <w:rPr>
                <w:sz w:val="20"/>
                <w:szCs w:val="20"/>
              </w:rPr>
            </w:pPr>
          </w:p>
        </w:tc>
        <w:tc>
          <w:tcPr>
            <w:tcW w:w="12049" w:type="dxa"/>
          </w:tcPr>
          <w:p w14:paraId="71CDE609" w14:textId="77777777" w:rsidR="00E73CF5" w:rsidRPr="00E73CF5" w:rsidRDefault="00E73CF5" w:rsidP="00E73CF5">
            <w:pPr>
              <w:rPr>
                <w:sz w:val="20"/>
                <w:szCs w:val="20"/>
              </w:rPr>
            </w:pPr>
            <w:r w:rsidRPr="00E73CF5">
              <w:rPr>
                <w:sz w:val="20"/>
                <w:szCs w:val="20"/>
              </w:rPr>
              <w:t>14) Strengthen accountability and transparency in the processes and operations of distribution of resources of the Environmental Compensation Fund (ECA) to the Regional Autonomous Corporations and Sustainable Development Corporations.</w:t>
            </w:r>
          </w:p>
        </w:tc>
      </w:tr>
      <w:tr w:rsidR="00F641A4" w:rsidRPr="00E73CF5" w14:paraId="2A936EFC" w14:textId="77777777" w:rsidTr="000A5230">
        <w:tc>
          <w:tcPr>
            <w:tcW w:w="1413" w:type="dxa"/>
          </w:tcPr>
          <w:p w14:paraId="30EFBE03" w14:textId="77777777" w:rsidR="00F641A4" w:rsidRPr="00E73CF5" w:rsidRDefault="00F641A4" w:rsidP="00E73CF5">
            <w:pPr>
              <w:rPr>
                <w:sz w:val="20"/>
                <w:szCs w:val="20"/>
              </w:rPr>
            </w:pPr>
          </w:p>
        </w:tc>
        <w:tc>
          <w:tcPr>
            <w:tcW w:w="1134" w:type="dxa"/>
          </w:tcPr>
          <w:p w14:paraId="78594729" w14:textId="0F97408B" w:rsidR="00F641A4" w:rsidRPr="00E73CF5" w:rsidRDefault="00F641A4" w:rsidP="00E73CF5">
            <w:pPr>
              <w:jc w:val="center"/>
              <w:rPr>
                <w:sz w:val="20"/>
                <w:szCs w:val="20"/>
              </w:rPr>
            </w:pPr>
            <w:r>
              <w:rPr>
                <w:sz w:val="20"/>
                <w:szCs w:val="20"/>
              </w:rPr>
              <w:t>Croatia</w:t>
            </w:r>
          </w:p>
        </w:tc>
        <w:tc>
          <w:tcPr>
            <w:tcW w:w="12049" w:type="dxa"/>
          </w:tcPr>
          <w:p w14:paraId="140BFA71" w14:textId="1EDAE340" w:rsidR="00F641A4" w:rsidRPr="00E73CF5" w:rsidRDefault="00BA5F36" w:rsidP="00BA5F36">
            <w:pPr>
              <w:rPr>
                <w:sz w:val="20"/>
                <w:szCs w:val="20"/>
              </w:rPr>
            </w:pPr>
            <w:r w:rsidRPr="00BA5F36">
              <w:rPr>
                <w:sz w:val="20"/>
                <w:szCs w:val="20"/>
              </w:rPr>
              <w:t>4) Fiscal Transparency (Ministry of Finance). Presentation of additional detailed information in the state budget proposal (fiscal impacts of budget initiatives, public debt, contingent liabilities); timely publication of monthly reports on budget execution, and of annual report; citizens guide to budget.</w:t>
            </w:r>
          </w:p>
        </w:tc>
      </w:tr>
      <w:tr w:rsidR="00E73CF5" w:rsidRPr="00E73CF5" w14:paraId="0BD263DC" w14:textId="77777777" w:rsidTr="000A5230">
        <w:tc>
          <w:tcPr>
            <w:tcW w:w="1413" w:type="dxa"/>
          </w:tcPr>
          <w:p w14:paraId="03FAED10" w14:textId="77777777" w:rsidR="00E73CF5" w:rsidRPr="00E73CF5" w:rsidRDefault="00E73CF5" w:rsidP="00E73CF5">
            <w:pPr>
              <w:rPr>
                <w:sz w:val="20"/>
                <w:szCs w:val="20"/>
              </w:rPr>
            </w:pPr>
          </w:p>
        </w:tc>
        <w:tc>
          <w:tcPr>
            <w:tcW w:w="1134" w:type="dxa"/>
          </w:tcPr>
          <w:p w14:paraId="4C652122" w14:textId="77777777" w:rsidR="00E73CF5" w:rsidRPr="00E73CF5" w:rsidRDefault="00E73CF5" w:rsidP="00E73CF5">
            <w:pPr>
              <w:jc w:val="center"/>
              <w:rPr>
                <w:sz w:val="20"/>
                <w:szCs w:val="20"/>
              </w:rPr>
            </w:pPr>
            <w:r w:rsidRPr="00E73CF5">
              <w:rPr>
                <w:sz w:val="20"/>
                <w:szCs w:val="20"/>
              </w:rPr>
              <w:t>Guatemala</w:t>
            </w:r>
          </w:p>
          <w:p w14:paraId="5EB4E72A" w14:textId="599C0E7D" w:rsidR="00E73CF5" w:rsidRPr="00E73CF5" w:rsidRDefault="00E73CF5" w:rsidP="00E73CF5">
            <w:pPr>
              <w:jc w:val="center"/>
              <w:rPr>
                <w:sz w:val="20"/>
                <w:szCs w:val="20"/>
              </w:rPr>
            </w:pPr>
          </w:p>
        </w:tc>
        <w:tc>
          <w:tcPr>
            <w:tcW w:w="12049" w:type="dxa"/>
          </w:tcPr>
          <w:p w14:paraId="5D150E4C" w14:textId="77777777" w:rsidR="00E73CF5" w:rsidRPr="00E73CF5" w:rsidRDefault="00E73CF5" w:rsidP="00E73CF5">
            <w:pPr>
              <w:rPr>
                <w:sz w:val="20"/>
                <w:szCs w:val="20"/>
              </w:rPr>
            </w:pPr>
            <w:r w:rsidRPr="00E73CF5">
              <w:rPr>
                <w:sz w:val="20"/>
                <w:szCs w:val="20"/>
              </w:rPr>
              <w:t xml:space="preserve">15) To disclose the transparent management of the expenses and resources used in disaster risk management and reduction. The opening of spaces for social audit, valuing the participation of civil society and encouraging citizen participation. </w:t>
            </w:r>
          </w:p>
        </w:tc>
      </w:tr>
      <w:tr w:rsidR="00E73CF5" w:rsidRPr="00E73CF5" w14:paraId="1F00E6FB" w14:textId="77777777" w:rsidTr="000A5230">
        <w:tc>
          <w:tcPr>
            <w:tcW w:w="1413" w:type="dxa"/>
          </w:tcPr>
          <w:p w14:paraId="214DB821" w14:textId="77777777" w:rsidR="00E73CF5" w:rsidRPr="00E73CF5" w:rsidRDefault="00E73CF5" w:rsidP="00E73CF5">
            <w:pPr>
              <w:rPr>
                <w:sz w:val="20"/>
                <w:szCs w:val="20"/>
              </w:rPr>
            </w:pPr>
          </w:p>
        </w:tc>
        <w:tc>
          <w:tcPr>
            <w:tcW w:w="1134" w:type="dxa"/>
          </w:tcPr>
          <w:p w14:paraId="3D9D8F39" w14:textId="77777777" w:rsidR="00E73CF5" w:rsidRPr="00E73CF5" w:rsidRDefault="00E73CF5" w:rsidP="00E73CF5">
            <w:pPr>
              <w:jc w:val="center"/>
              <w:rPr>
                <w:sz w:val="20"/>
                <w:szCs w:val="20"/>
              </w:rPr>
            </w:pPr>
            <w:r w:rsidRPr="00E73CF5">
              <w:rPr>
                <w:sz w:val="20"/>
                <w:szCs w:val="20"/>
              </w:rPr>
              <w:t>Guatemala</w:t>
            </w:r>
          </w:p>
          <w:p w14:paraId="608C5140" w14:textId="52E4AC26" w:rsidR="00E73CF5" w:rsidRPr="00E73CF5" w:rsidRDefault="00E73CF5" w:rsidP="00E73CF5">
            <w:pPr>
              <w:jc w:val="center"/>
              <w:rPr>
                <w:sz w:val="20"/>
                <w:szCs w:val="20"/>
              </w:rPr>
            </w:pPr>
          </w:p>
        </w:tc>
        <w:tc>
          <w:tcPr>
            <w:tcW w:w="12049" w:type="dxa"/>
          </w:tcPr>
          <w:p w14:paraId="0215F266" w14:textId="77777777" w:rsidR="00E73CF5" w:rsidRPr="00E73CF5" w:rsidRDefault="00E73CF5" w:rsidP="00E73CF5">
            <w:pPr>
              <w:rPr>
                <w:sz w:val="20"/>
                <w:szCs w:val="20"/>
              </w:rPr>
            </w:pPr>
            <w:r w:rsidRPr="00E73CF5">
              <w:rPr>
                <w:sz w:val="20"/>
                <w:szCs w:val="20"/>
              </w:rPr>
              <w:t>16) To promote channels of citizen participation in key stages of the budget process, through open budget forums (the public presentation of the investment proposal, and the audit report). It is sought that CSOs and citizens know and make recommendations on relevant aspects during the budget process, through mechanisms that reflect GIFT’s principles of public participation in fiscal policy.</w:t>
            </w:r>
          </w:p>
        </w:tc>
      </w:tr>
      <w:tr w:rsidR="00E73CF5" w:rsidRPr="00E73CF5" w14:paraId="1B903CC0" w14:textId="77777777" w:rsidTr="000A5230">
        <w:tc>
          <w:tcPr>
            <w:tcW w:w="1413" w:type="dxa"/>
          </w:tcPr>
          <w:p w14:paraId="00AA004F" w14:textId="77777777" w:rsidR="00E73CF5" w:rsidRPr="00E73CF5" w:rsidRDefault="00E73CF5" w:rsidP="00E73CF5">
            <w:pPr>
              <w:rPr>
                <w:sz w:val="20"/>
                <w:szCs w:val="20"/>
              </w:rPr>
            </w:pPr>
          </w:p>
        </w:tc>
        <w:tc>
          <w:tcPr>
            <w:tcW w:w="1134" w:type="dxa"/>
          </w:tcPr>
          <w:p w14:paraId="14DA8801" w14:textId="77777777" w:rsidR="00E73CF5" w:rsidRPr="00E73CF5" w:rsidRDefault="00E73CF5" w:rsidP="00E73CF5">
            <w:pPr>
              <w:jc w:val="center"/>
              <w:rPr>
                <w:sz w:val="20"/>
                <w:szCs w:val="20"/>
              </w:rPr>
            </w:pPr>
            <w:r w:rsidRPr="00E73CF5">
              <w:rPr>
                <w:sz w:val="20"/>
                <w:szCs w:val="20"/>
              </w:rPr>
              <w:t>Guatemala</w:t>
            </w:r>
          </w:p>
          <w:p w14:paraId="1EA055C6" w14:textId="29AD065F" w:rsidR="00E73CF5" w:rsidRPr="00E73CF5" w:rsidRDefault="00E73CF5" w:rsidP="00E73CF5">
            <w:pPr>
              <w:jc w:val="center"/>
              <w:rPr>
                <w:sz w:val="20"/>
                <w:szCs w:val="20"/>
              </w:rPr>
            </w:pPr>
          </w:p>
        </w:tc>
        <w:tc>
          <w:tcPr>
            <w:tcW w:w="12049" w:type="dxa"/>
          </w:tcPr>
          <w:p w14:paraId="08074FE2" w14:textId="77777777" w:rsidR="00E73CF5" w:rsidRPr="00E73CF5" w:rsidRDefault="00E73CF5" w:rsidP="00E73CF5">
            <w:pPr>
              <w:rPr>
                <w:sz w:val="20"/>
                <w:szCs w:val="20"/>
              </w:rPr>
            </w:pPr>
            <w:r w:rsidRPr="00E73CF5">
              <w:rPr>
                <w:sz w:val="20"/>
                <w:szCs w:val="20"/>
              </w:rPr>
              <w:t>17) Achieve progress in the application of budget methodology and guidelines in accordance with the IMF Fiscal Transparency Code (as assessed in the Fiscal Transparency Evaluation 2016).</w:t>
            </w:r>
          </w:p>
        </w:tc>
      </w:tr>
      <w:tr w:rsidR="00E73CF5" w:rsidRPr="00E73CF5" w14:paraId="7721D268" w14:textId="77777777" w:rsidTr="000A5230">
        <w:tc>
          <w:tcPr>
            <w:tcW w:w="1413" w:type="dxa"/>
          </w:tcPr>
          <w:p w14:paraId="077750F5" w14:textId="77777777" w:rsidR="00E73CF5" w:rsidRPr="00E73CF5" w:rsidRDefault="00E73CF5" w:rsidP="00E73CF5">
            <w:pPr>
              <w:rPr>
                <w:sz w:val="20"/>
                <w:szCs w:val="20"/>
              </w:rPr>
            </w:pPr>
          </w:p>
        </w:tc>
        <w:tc>
          <w:tcPr>
            <w:tcW w:w="1134" w:type="dxa"/>
          </w:tcPr>
          <w:p w14:paraId="07696F82" w14:textId="77777777" w:rsidR="00E73CF5" w:rsidRPr="00E73CF5" w:rsidRDefault="00E73CF5" w:rsidP="00E73CF5">
            <w:pPr>
              <w:jc w:val="center"/>
              <w:rPr>
                <w:sz w:val="20"/>
                <w:szCs w:val="20"/>
              </w:rPr>
            </w:pPr>
            <w:r w:rsidRPr="00E73CF5">
              <w:rPr>
                <w:sz w:val="20"/>
                <w:szCs w:val="20"/>
              </w:rPr>
              <w:t>Guatemala</w:t>
            </w:r>
          </w:p>
          <w:p w14:paraId="72E7754D" w14:textId="6DDA38CF" w:rsidR="00E73CF5" w:rsidRPr="00E73CF5" w:rsidRDefault="00E73CF5" w:rsidP="00E73CF5">
            <w:pPr>
              <w:jc w:val="center"/>
              <w:rPr>
                <w:sz w:val="20"/>
                <w:szCs w:val="20"/>
              </w:rPr>
            </w:pPr>
          </w:p>
        </w:tc>
        <w:tc>
          <w:tcPr>
            <w:tcW w:w="12049" w:type="dxa"/>
          </w:tcPr>
          <w:p w14:paraId="348BED78" w14:textId="77777777" w:rsidR="00E73CF5" w:rsidRPr="00E73CF5" w:rsidRDefault="00E73CF5" w:rsidP="00E73CF5">
            <w:pPr>
              <w:rPr>
                <w:sz w:val="20"/>
                <w:szCs w:val="20"/>
              </w:rPr>
            </w:pPr>
            <w:r w:rsidRPr="00E73CF5">
              <w:rPr>
                <w:sz w:val="20"/>
                <w:szCs w:val="20"/>
              </w:rPr>
              <w:t>18) To improve the quality, content and timely publication of the 8 documents or budget reports, restructure the fiscal transparency portal and improve the subsystems of the Integrated Administration System Financial (SIAF). Increase score on the Open Budget Index.</w:t>
            </w:r>
          </w:p>
        </w:tc>
      </w:tr>
      <w:tr w:rsidR="00E73CF5" w:rsidRPr="00E73CF5" w14:paraId="485BFC50" w14:textId="77777777" w:rsidTr="000A5230">
        <w:tc>
          <w:tcPr>
            <w:tcW w:w="1413" w:type="dxa"/>
          </w:tcPr>
          <w:p w14:paraId="6791DA5D" w14:textId="77777777" w:rsidR="00E73CF5" w:rsidRPr="00E73CF5" w:rsidRDefault="00E73CF5" w:rsidP="00E73CF5">
            <w:pPr>
              <w:rPr>
                <w:sz w:val="20"/>
                <w:szCs w:val="20"/>
              </w:rPr>
            </w:pPr>
          </w:p>
        </w:tc>
        <w:tc>
          <w:tcPr>
            <w:tcW w:w="1134" w:type="dxa"/>
          </w:tcPr>
          <w:p w14:paraId="617301EB" w14:textId="67C25648" w:rsidR="00E73CF5" w:rsidRPr="00E73CF5" w:rsidRDefault="009D19E3" w:rsidP="00E73CF5">
            <w:pPr>
              <w:jc w:val="center"/>
              <w:rPr>
                <w:sz w:val="20"/>
                <w:szCs w:val="20"/>
              </w:rPr>
            </w:pPr>
            <w:r>
              <w:rPr>
                <w:sz w:val="20"/>
                <w:szCs w:val="20"/>
              </w:rPr>
              <w:t xml:space="preserve">South Africa </w:t>
            </w:r>
          </w:p>
        </w:tc>
        <w:tc>
          <w:tcPr>
            <w:tcW w:w="12049" w:type="dxa"/>
          </w:tcPr>
          <w:p w14:paraId="165E5E42" w14:textId="079FD271" w:rsidR="009D19E3" w:rsidRPr="009D19E3" w:rsidRDefault="009D19E3" w:rsidP="009D19E3">
            <w:pPr>
              <w:rPr>
                <w:sz w:val="20"/>
                <w:szCs w:val="20"/>
              </w:rPr>
            </w:pPr>
            <w:r w:rsidRPr="009D19E3">
              <w:rPr>
                <w:sz w:val="20"/>
                <w:szCs w:val="20"/>
              </w:rPr>
              <w:t>2) Open Budgeting (National Treasury)</w:t>
            </w:r>
          </w:p>
          <w:p w14:paraId="141D6FF0" w14:textId="1FC7E4DD" w:rsidR="00E73CF5" w:rsidRPr="00E73CF5" w:rsidRDefault="009D19E3" w:rsidP="009D19E3">
            <w:pPr>
              <w:rPr>
                <w:sz w:val="20"/>
                <w:szCs w:val="20"/>
              </w:rPr>
            </w:pPr>
            <w:r w:rsidRPr="009D19E3">
              <w:rPr>
                <w:sz w:val="20"/>
                <w:szCs w:val="20"/>
              </w:rPr>
              <w:t xml:space="preserve">Involve civil society in various aspects of the budget process from planning to implementation and monitoring and evaluation, enabling them to have a firmer grasp of how national resources are generated, distributed and reported upon. Publishing expanded procurement data; support civil society in their preparation of citizen-friendly publications about national budgets tabled in Parliament; discussions regarding the possible creation of a data portal; the organisation of budget road shows and information sessions. </w:t>
            </w:r>
          </w:p>
        </w:tc>
      </w:tr>
      <w:tr w:rsidR="00BA5F36" w:rsidRPr="00E73CF5" w14:paraId="396EA7D8" w14:textId="77777777" w:rsidTr="000A5230">
        <w:tc>
          <w:tcPr>
            <w:tcW w:w="1413" w:type="dxa"/>
          </w:tcPr>
          <w:p w14:paraId="0BEB76C3" w14:textId="77777777" w:rsidR="00BA5F36" w:rsidRPr="00E73CF5" w:rsidRDefault="00BA5F36" w:rsidP="00BA5F36">
            <w:pPr>
              <w:rPr>
                <w:sz w:val="20"/>
                <w:szCs w:val="20"/>
              </w:rPr>
            </w:pPr>
          </w:p>
        </w:tc>
        <w:tc>
          <w:tcPr>
            <w:tcW w:w="1134" w:type="dxa"/>
          </w:tcPr>
          <w:p w14:paraId="54387E8B" w14:textId="77777777" w:rsidR="00BA5F36" w:rsidRDefault="00BA5F36" w:rsidP="00BA5F36">
            <w:pPr>
              <w:jc w:val="center"/>
              <w:rPr>
                <w:sz w:val="20"/>
                <w:szCs w:val="20"/>
              </w:rPr>
            </w:pPr>
            <w:r>
              <w:rPr>
                <w:sz w:val="20"/>
                <w:szCs w:val="20"/>
              </w:rPr>
              <w:t xml:space="preserve">Tunisia </w:t>
            </w:r>
          </w:p>
          <w:p w14:paraId="6337C751" w14:textId="2574F661" w:rsidR="00BA5F36" w:rsidRPr="00E73CF5" w:rsidRDefault="00BA5F36" w:rsidP="00BA5F36">
            <w:pPr>
              <w:jc w:val="center"/>
              <w:rPr>
                <w:sz w:val="20"/>
                <w:szCs w:val="20"/>
              </w:rPr>
            </w:pPr>
          </w:p>
        </w:tc>
        <w:tc>
          <w:tcPr>
            <w:tcW w:w="12049" w:type="dxa"/>
          </w:tcPr>
          <w:p w14:paraId="4DA7979F" w14:textId="77777777" w:rsidR="00BA5F36" w:rsidRPr="00BA5F36" w:rsidRDefault="00BA5F36" w:rsidP="00BA5F36">
            <w:pPr>
              <w:rPr>
                <w:rFonts w:ascii="Calibri" w:eastAsia="Times New Roman" w:hAnsi="Calibri" w:cs="Times New Roman"/>
                <w:color w:val="000000"/>
                <w:sz w:val="20"/>
                <w:szCs w:val="20"/>
                <w:lang w:eastAsia="en-NZ"/>
              </w:rPr>
            </w:pPr>
            <w:r w:rsidRPr="00BA5F36">
              <w:rPr>
                <w:rFonts w:ascii="Calibri" w:eastAsia="Times New Roman" w:hAnsi="Calibri" w:cs="Times New Roman"/>
                <w:color w:val="000000"/>
                <w:sz w:val="20"/>
                <w:szCs w:val="20"/>
                <w:lang w:eastAsia="en-NZ"/>
              </w:rPr>
              <w:t>8) Promoting financial and fiscal transparency (Ministry of Finance)</w:t>
            </w:r>
          </w:p>
          <w:p w14:paraId="6DE65C45" w14:textId="3170854E" w:rsidR="00BA5F36" w:rsidRPr="00E73CF5" w:rsidRDefault="00BA5F36" w:rsidP="00BA5F36">
            <w:pPr>
              <w:rPr>
                <w:sz w:val="20"/>
                <w:szCs w:val="20"/>
              </w:rPr>
            </w:pPr>
            <w:r w:rsidRPr="00BA5F36">
              <w:rPr>
                <w:rFonts w:ascii="Calibri" w:eastAsia="Times New Roman" w:hAnsi="Calibri" w:cs="Times New Roman"/>
                <w:color w:val="000000"/>
                <w:sz w:val="20"/>
                <w:szCs w:val="20"/>
                <w:lang w:eastAsia="en-NZ"/>
              </w:rPr>
              <w:t>Encourage the tax payers to respect their fiscal duties. It also aims at the increase of the state budget resources through better exploitation of the tax energy, especially by reducing tax expenditures.</w:t>
            </w:r>
          </w:p>
        </w:tc>
      </w:tr>
      <w:tr w:rsidR="000A5230" w:rsidRPr="00E73CF5" w14:paraId="6C999A8A" w14:textId="77777777" w:rsidTr="000A5230">
        <w:tc>
          <w:tcPr>
            <w:tcW w:w="1413" w:type="dxa"/>
          </w:tcPr>
          <w:p w14:paraId="3788208B" w14:textId="77777777" w:rsidR="000A5230" w:rsidRPr="00E73CF5" w:rsidRDefault="000A5230" w:rsidP="00BA5F36">
            <w:pPr>
              <w:rPr>
                <w:sz w:val="20"/>
                <w:szCs w:val="20"/>
              </w:rPr>
            </w:pPr>
          </w:p>
        </w:tc>
        <w:tc>
          <w:tcPr>
            <w:tcW w:w="1134" w:type="dxa"/>
          </w:tcPr>
          <w:p w14:paraId="7C5544BE" w14:textId="3F5A23B3" w:rsidR="000A5230" w:rsidRDefault="000A5230" w:rsidP="00BA5F36">
            <w:pPr>
              <w:jc w:val="center"/>
              <w:rPr>
                <w:sz w:val="20"/>
                <w:szCs w:val="20"/>
              </w:rPr>
            </w:pPr>
            <w:r>
              <w:rPr>
                <w:sz w:val="20"/>
                <w:szCs w:val="20"/>
              </w:rPr>
              <w:t>Ukraine</w:t>
            </w:r>
          </w:p>
        </w:tc>
        <w:tc>
          <w:tcPr>
            <w:tcW w:w="12049" w:type="dxa"/>
          </w:tcPr>
          <w:p w14:paraId="6E3B1B77" w14:textId="2C9F589A" w:rsidR="000A5230" w:rsidRPr="00BA5F36" w:rsidRDefault="000A5230" w:rsidP="00BA5F36">
            <w:pPr>
              <w:rPr>
                <w:rFonts w:ascii="Calibri" w:eastAsia="Times New Roman" w:hAnsi="Calibri" w:cs="Times New Roman"/>
                <w:color w:val="000000"/>
                <w:sz w:val="20"/>
                <w:szCs w:val="20"/>
                <w:lang w:eastAsia="en-NZ"/>
              </w:rPr>
            </w:pPr>
            <w:r w:rsidRPr="000A5230">
              <w:rPr>
                <w:rFonts w:ascii="Calibri" w:eastAsia="Times New Roman" w:hAnsi="Calibri" w:cs="Times New Roman"/>
                <w:color w:val="000000"/>
                <w:sz w:val="20"/>
                <w:szCs w:val="20"/>
                <w:lang w:eastAsia="en-NZ"/>
              </w:rPr>
              <w:t>7</w:t>
            </w:r>
            <w:r>
              <w:rPr>
                <w:rFonts w:ascii="Calibri" w:eastAsia="Times New Roman" w:hAnsi="Calibri" w:cs="Times New Roman"/>
                <w:color w:val="000000"/>
                <w:sz w:val="20"/>
                <w:szCs w:val="20"/>
                <w:lang w:eastAsia="en-NZ"/>
              </w:rPr>
              <w:t>)</w:t>
            </w:r>
            <w:r w:rsidRPr="000A5230">
              <w:rPr>
                <w:rFonts w:ascii="Calibri" w:eastAsia="Times New Roman" w:hAnsi="Calibri" w:cs="Times New Roman"/>
                <w:color w:val="000000"/>
                <w:sz w:val="20"/>
                <w:szCs w:val="20"/>
                <w:lang w:eastAsia="en-NZ"/>
              </w:rPr>
              <w:t xml:space="preserve"> Transparent budget system (Ministry of Finance).</w:t>
            </w:r>
            <w:r>
              <w:rPr>
                <w:rFonts w:ascii="Calibri" w:eastAsia="Times New Roman" w:hAnsi="Calibri" w:cs="Times New Roman"/>
                <w:color w:val="000000"/>
                <w:sz w:val="20"/>
                <w:szCs w:val="20"/>
                <w:lang w:eastAsia="en-NZ"/>
              </w:rPr>
              <w:t xml:space="preserve"> </w:t>
            </w:r>
            <w:r w:rsidRPr="000A5230">
              <w:rPr>
                <w:rFonts w:ascii="Calibri" w:eastAsia="Times New Roman" w:hAnsi="Calibri" w:cs="Times New Roman"/>
                <w:color w:val="000000"/>
                <w:sz w:val="20"/>
                <w:szCs w:val="20"/>
                <w:lang w:eastAsia="en-NZ"/>
              </w:rPr>
              <w:t>Implementation of the first stage in the development of the integrated “Transparent budget” information and analysis system.</w:t>
            </w:r>
          </w:p>
        </w:tc>
      </w:tr>
      <w:tr w:rsidR="00BA5F36" w:rsidRPr="00E73CF5" w14:paraId="20CAE42F" w14:textId="77777777" w:rsidTr="000A5230">
        <w:tc>
          <w:tcPr>
            <w:tcW w:w="1413" w:type="dxa"/>
          </w:tcPr>
          <w:p w14:paraId="6529EF25" w14:textId="77777777" w:rsidR="00BA5F36" w:rsidRPr="00E73CF5" w:rsidRDefault="00BA5F36" w:rsidP="00BA5F36">
            <w:pPr>
              <w:rPr>
                <w:sz w:val="20"/>
                <w:szCs w:val="20"/>
              </w:rPr>
            </w:pPr>
          </w:p>
        </w:tc>
        <w:tc>
          <w:tcPr>
            <w:tcW w:w="1134" w:type="dxa"/>
          </w:tcPr>
          <w:p w14:paraId="14C84AF1" w14:textId="131CA223" w:rsidR="00BA5F36" w:rsidRPr="00E73CF5" w:rsidRDefault="00BA5F36" w:rsidP="00BA5F36">
            <w:pPr>
              <w:jc w:val="center"/>
              <w:rPr>
                <w:sz w:val="20"/>
                <w:szCs w:val="20"/>
              </w:rPr>
            </w:pPr>
            <w:r w:rsidRPr="00E73CF5">
              <w:rPr>
                <w:sz w:val="20"/>
                <w:szCs w:val="20"/>
              </w:rPr>
              <w:t xml:space="preserve">Uruguay </w:t>
            </w:r>
          </w:p>
        </w:tc>
        <w:tc>
          <w:tcPr>
            <w:tcW w:w="12049" w:type="dxa"/>
          </w:tcPr>
          <w:p w14:paraId="62EFB3A0" w14:textId="77777777" w:rsidR="00BA5F36" w:rsidRPr="00E73CF5" w:rsidRDefault="00BA5F36" w:rsidP="00BA5F36">
            <w:pPr>
              <w:rPr>
                <w:sz w:val="20"/>
                <w:szCs w:val="20"/>
              </w:rPr>
            </w:pPr>
            <w:r w:rsidRPr="00E73CF5">
              <w:rPr>
                <w:sz w:val="20"/>
                <w:szCs w:val="20"/>
              </w:rPr>
              <w:t xml:space="preserve">8) Web site with information on planning, budget and results, which is built in conjunction with users. </w:t>
            </w:r>
          </w:p>
        </w:tc>
      </w:tr>
      <w:tr w:rsidR="00BA5F36" w:rsidRPr="00E73CF5" w14:paraId="05FA352B" w14:textId="77777777" w:rsidTr="000A5230">
        <w:tc>
          <w:tcPr>
            <w:tcW w:w="1413" w:type="dxa"/>
          </w:tcPr>
          <w:p w14:paraId="22A0977F" w14:textId="77777777" w:rsidR="00BA5F36" w:rsidRPr="00E73CF5" w:rsidRDefault="00BA5F36" w:rsidP="00BA5F36">
            <w:pPr>
              <w:rPr>
                <w:rFonts w:ascii="Calibri" w:eastAsia="Times New Roman" w:hAnsi="Calibri" w:cs="Times New Roman"/>
                <w:b/>
                <w:color w:val="000000"/>
                <w:sz w:val="20"/>
                <w:szCs w:val="20"/>
                <w:lang w:eastAsia="en-NZ"/>
              </w:rPr>
            </w:pPr>
            <w:r w:rsidRPr="00E73CF5">
              <w:rPr>
                <w:rFonts w:ascii="Calibri" w:eastAsia="Times New Roman" w:hAnsi="Calibri" w:cs="Times New Roman"/>
                <w:b/>
                <w:color w:val="000000"/>
                <w:sz w:val="20"/>
                <w:szCs w:val="20"/>
                <w:lang w:eastAsia="en-NZ"/>
              </w:rPr>
              <w:t xml:space="preserve">HLP 3: </w:t>
            </w:r>
            <w:r w:rsidRPr="00E73CF5">
              <w:rPr>
                <w:b/>
              </w:rPr>
              <w:t xml:space="preserve"> </w:t>
            </w:r>
            <w:r w:rsidRPr="00E73CF5">
              <w:rPr>
                <w:rFonts w:ascii="Calibri" w:eastAsia="Times New Roman" w:hAnsi="Calibri" w:cs="Times New Roman"/>
                <w:b/>
                <w:color w:val="000000"/>
                <w:sz w:val="20"/>
                <w:szCs w:val="20"/>
                <w:lang w:eastAsia="en-NZ"/>
              </w:rPr>
              <w:tab/>
            </w:r>
          </w:p>
          <w:p w14:paraId="05E0B45D" w14:textId="77777777" w:rsidR="00BA5F36" w:rsidRPr="00E73CF5" w:rsidRDefault="00BA5F36" w:rsidP="00BA5F36">
            <w:pPr>
              <w:rPr>
                <w:rFonts w:ascii="Calibri" w:eastAsia="Times New Roman" w:hAnsi="Calibri" w:cs="Times New Roman"/>
                <w:b/>
                <w:color w:val="000000"/>
                <w:sz w:val="20"/>
                <w:szCs w:val="20"/>
                <w:lang w:eastAsia="en-NZ"/>
              </w:rPr>
            </w:pPr>
            <w:r w:rsidRPr="00E73CF5">
              <w:rPr>
                <w:rFonts w:ascii="Calibri" w:eastAsia="Times New Roman" w:hAnsi="Calibri" w:cs="Times New Roman"/>
                <w:b/>
                <w:color w:val="000000"/>
                <w:sz w:val="20"/>
                <w:szCs w:val="20"/>
                <w:lang w:eastAsia="en-NZ"/>
              </w:rPr>
              <w:t xml:space="preserve">b. </w:t>
            </w:r>
            <w:r w:rsidRPr="00E73CF5">
              <w:rPr>
                <w:b/>
              </w:rPr>
              <w:t xml:space="preserve"> Fiscal reporting</w:t>
            </w:r>
            <w:r w:rsidRPr="00E73CF5">
              <w:rPr>
                <w:b/>
                <w:vertAlign w:val="superscript"/>
              </w:rPr>
              <w:footnoteReference w:id="8"/>
            </w:r>
          </w:p>
        </w:tc>
        <w:tc>
          <w:tcPr>
            <w:tcW w:w="1134" w:type="dxa"/>
          </w:tcPr>
          <w:p w14:paraId="1874035E" w14:textId="77777777" w:rsidR="00BA5F36" w:rsidRPr="00E73CF5" w:rsidRDefault="00BA5F36" w:rsidP="00BA5F36">
            <w:pPr>
              <w:jc w:val="center"/>
              <w:rPr>
                <w:rFonts w:ascii="Calibri" w:eastAsia="Times New Roman" w:hAnsi="Calibri" w:cs="Times New Roman"/>
                <w:color w:val="000000"/>
                <w:sz w:val="20"/>
                <w:szCs w:val="20"/>
                <w:lang w:eastAsia="en-NZ"/>
              </w:rPr>
            </w:pPr>
          </w:p>
        </w:tc>
        <w:tc>
          <w:tcPr>
            <w:tcW w:w="12049" w:type="dxa"/>
            <w:vAlign w:val="bottom"/>
          </w:tcPr>
          <w:p w14:paraId="35B1EDBD" w14:textId="77777777" w:rsidR="00BA5F36" w:rsidRPr="00E73CF5" w:rsidRDefault="00BA5F36" w:rsidP="00BA5F36">
            <w:pPr>
              <w:rPr>
                <w:rFonts w:ascii="Calibri" w:eastAsia="Times New Roman" w:hAnsi="Calibri" w:cs="Times New Roman"/>
                <w:color w:val="000000"/>
                <w:sz w:val="20"/>
                <w:szCs w:val="20"/>
                <w:lang w:eastAsia="en-NZ"/>
              </w:rPr>
            </w:pPr>
          </w:p>
        </w:tc>
      </w:tr>
      <w:tr w:rsidR="00BA5F36" w:rsidRPr="00E73CF5" w14:paraId="3549BCF1" w14:textId="77777777" w:rsidTr="000A5230">
        <w:tc>
          <w:tcPr>
            <w:tcW w:w="1413" w:type="dxa"/>
          </w:tcPr>
          <w:p w14:paraId="6AD66D5D" w14:textId="77777777" w:rsidR="00BA5F36" w:rsidRPr="00E73CF5" w:rsidRDefault="00BA5F36" w:rsidP="00BA5F36">
            <w:pPr>
              <w:rPr>
                <w:rFonts w:ascii="Calibri" w:eastAsia="Times New Roman" w:hAnsi="Calibri" w:cs="Times New Roman"/>
                <w:b/>
                <w:color w:val="000000"/>
                <w:sz w:val="20"/>
                <w:szCs w:val="20"/>
                <w:lang w:eastAsia="en-NZ"/>
              </w:rPr>
            </w:pPr>
          </w:p>
        </w:tc>
        <w:tc>
          <w:tcPr>
            <w:tcW w:w="1134" w:type="dxa"/>
          </w:tcPr>
          <w:p w14:paraId="73E04AF8" w14:textId="40667C23" w:rsidR="00BA5F36" w:rsidRPr="00EA7718" w:rsidRDefault="00BA5F36" w:rsidP="00EA7718">
            <w:pPr>
              <w:jc w:val="center"/>
              <w:rPr>
                <w:sz w:val="20"/>
                <w:szCs w:val="20"/>
              </w:rPr>
            </w:pPr>
            <w:r w:rsidRPr="00E73CF5">
              <w:rPr>
                <w:sz w:val="20"/>
                <w:szCs w:val="20"/>
              </w:rPr>
              <w:t xml:space="preserve">Argentina </w:t>
            </w:r>
          </w:p>
        </w:tc>
        <w:tc>
          <w:tcPr>
            <w:tcW w:w="12049" w:type="dxa"/>
          </w:tcPr>
          <w:p w14:paraId="7EA905A0" w14:textId="77777777" w:rsidR="00BA5F36" w:rsidRPr="00E73CF5" w:rsidRDefault="00BA5F36" w:rsidP="00BA5F36">
            <w:pPr>
              <w:rPr>
                <w:rFonts w:ascii="Calibri" w:eastAsia="Times New Roman" w:hAnsi="Calibri" w:cs="Times New Roman"/>
                <w:color w:val="000000"/>
                <w:sz w:val="20"/>
                <w:szCs w:val="20"/>
                <w:lang w:eastAsia="en-NZ"/>
              </w:rPr>
            </w:pPr>
            <w:r w:rsidRPr="00E73CF5">
              <w:rPr>
                <w:sz w:val="20"/>
                <w:szCs w:val="20"/>
              </w:rPr>
              <w:t xml:space="preserve">8) Regular publication of reliable consolidated statistical series on social security. </w:t>
            </w:r>
          </w:p>
        </w:tc>
      </w:tr>
      <w:tr w:rsidR="00BA5F36" w:rsidRPr="00E73CF5" w14:paraId="25058B1B" w14:textId="77777777" w:rsidTr="000A5230">
        <w:tc>
          <w:tcPr>
            <w:tcW w:w="1413" w:type="dxa"/>
          </w:tcPr>
          <w:p w14:paraId="68E24017" w14:textId="77777777" w:rsidR="00BA5F36" w:rsidRPr="00E73CF5" w:rsidRDefault="00BA5F36" w:rsidP="00BA5F36">
            <w:pPr>
              <w:rPr>
                <w:rFonts w:ascii="Calibri" w:eastAsia="Times New Roman" w:hAnsi="Calibri" w:cs="Times New Roman"/>
                <w:b/>
                <w:color w:val="000000"/>
                <w:sz w:val="20"/>
                <w:szCs w:val="20"/>
                <w:lang w:eastAsia="en-NZ"/>
              </w:rPr>
            </w:pPr>
          </w:p>
        </w:tc>
        <w:tc>
          <w:tcPr>
            <w:tcW w:w="1134" w:type="dxa"/>
          </w:tcPr>
          <w:p w14:paraId="4AC1AAB1" w14:textId="77777777" w:rsidR="00BA5F36" w:rsidRPr="00E73CF5" w:rsidRDefault="00BA5F36" w:rsidP="00BA5F36">
            <w:pPr>
              <w:jc w:val="center"/>
              <w:rPr>
                <w:sz w:val="20"/>
                <w:szCs w:val="20"/>
              </w:rPr>
            </w:pPr>
            <w:r w:rsidRPr="00E73CF5">
              <w:rPr>
                <w:sz w:val="20"/>
                <w:szCs w:val="20"/>
              </w:rPr>
              <w:t>Argentina</w:t>
            </w:r>
          </w:p>
          <w:p w14:paraId="02BE1734" w14:textId="1C4714BC" w:rsidR="00BA5F36" w:rsidRPr="00E73CF5" w:rsidRDefault="00BA5F36" w:rsidP="00BA5F36">
            <w:pPr>
              <w:jc w:val="center"/>
              <w:rPr>
                <w:rFonts w:ascii="Calibri" w:eastAsia="Times New Roman" w:hAnsi="Calibri" w:cs="Times New Roman"/>
                <w:color w:val="000000"/>
                <w:sz w:val="20"/>
                <w:szCs w:val="20"/>
                <w:lang w:eastAsia="en-NZ"/>
              </w:rPr>
            </w:pPr>
          </w:p>
        </w:tc>
        <w:tc>
          <w:tcPr>
            <w:tcW w:w="12049" w:type="dxa"/>
          </w:tcPr>
          <w:p w14:paraId="518CE3A1" w14:textId="77777777" w:rsidR="00BA5F36" w:rsidRPr="00E73CF5" w:rsidRDefault="00BA5F36" w:rsidP="00BA5F36">
            <w:pPr>
              <w:rPr>
                <w:rFonts w:ascii="Calibri" w:eastAsia="Times New Roman" w:hAnsi="Calibri" w:cs="Times New Roman"/>
                <w:color w:val="000000"/>
                <w:sz w:val="20"/>
                <w:szCs w:val="20"/>
                <w:lang w:eastAsia="en-NZ"/>
              </w:rPr>
            </w:pPr>
            <w:r w:rsidRPr="00E73CF5">
              <w:rPr>
                <w:sz w:val="20"/>
                <w:szCs w:val="20"/>
              </w:rPr>
              <w:t xml:space="preserve">12) Publication of web platform with mapping of productive development policies and their beneficiaries, using data of the Ministry of Production. </w:t>
            </w:r>
          </w:p>
        </w:tc>
      </w:tr>
      <w:tr w:rsidR="00BA5F36" w:rsidRPr="00E73CF5" w14:paraId="3A03BDDE" w14:textId="77777777" w:rsidTr="000A5230">
        <w:tc>
          <w:tcPr>
            <w:tcW w:w="1413" w:type="dxa"/>
          </w:tcPr>
          <w:p w14:paraId="60B65FB3" w14:textId="77777777" w:rsidR="00BA5F36" w:rsidRPr="00E73CF5" w:rsidRDefault="00BA5F36" w:rsidP="00BA5F36">
            <w:pPr>
              <w:rPr>
                <w:rFonts w:ascii="Calibri" w:eastAsia="Times New Roman" w:hAnsi="Calibri" w:cs="Times New Roman"/>
                <w:b/>
                <w:color w:val="000000"/>
                <w:sz w:val="20"/>
                <w:szCs w:val="20"/>
                <w:lang w:eastAsia="en-NZ"/>
              </w:rPr>
            </w:pPr>
          </w:p>
        </w:tc>
        <w:tc>
          <w:tcPr>
            <w:tcW w:w="1134" w:type="dxa"/>
          </w:tcPr>
          <w:p w14:paraId="550AD46D" w14:textId="2244B1D2" w:rsidR="00BA5F36" w:rsidRPr="00EA7718" w:rsidRDefault="00BA5F36" w:rsidP="00EA7718">
            <w:pPr>
              <w:jc w:val="center"/>
              <w:rPr>
                <w:sz w:val="20"/>
                <w:szCs w:val="20"/>
              </w:rPr>
            </w:pPr>
            <w:r w:rsidRPr="00E73CF5">
              <w:rPr>
                <w:sz w:val="20"/>
                <w:szCs w:val="20"/>
              </w:rPr>
              <w:t>Argentina</w:t>
            </w:r>
          </w:p>
        </w:tc>
        <w:tc>
          <w:tcPr>
            <w:tcW w:w="12049" w:type="dxa"/>
          </w:tcPr>
          <w:p w14:paraId="1B843576" w14:textId="77777777" w:rsidR="00BA5F36" w:rsidRPr="00E73CF5" w:rsidRDefault="00BA5F36" w:rsidP="00BA5F36">
            <w:pPr>
              <w:rPr>
                <w:rFonts w:ascii="Calibri" w:eastAsia="Times New Roman" w:hAnsi="Calibri" w:cs="Times New Roman"/>
                <w:color w:val="000000"/>
                <w:sz w:val="20"/>
                <w:szCs w:val="20"/>
                <w:lang w:eastAsia="en-NZ"/>
              </w:rPr>
            </w:pPr>
            <w:r w:rsidRPr="00E73CF5">
              <w:rPr>
                <w:sz w:val="20"/>
                <w:szCs w:val="20"/>
              </w:rPr>
              <w:t xml:space="preserve">15) Publish information on public funds of the Ministry of Culture. </w:t>
            </w:r>
          </w:p>
        </w:tc>
      </w:tr>
      <w:tr w:rsidR="0042315E" w:rsidRPr="00E73CF5" w14:paraId="56A2EE41" w14:textId="77777777" w:rsidTr="000A5230">
        <w:tc>
          <w:tcPr>
            <w:tcW w:w="1413" w:type="dxa"/>
          </w:tcPr>
          <w:p w14:paraId="16CD1FC0" w14:textId="77777777" w:rsidR="0042315E" w:rsidRPr="00E73CF5" w:rsidRDefault="0042315E" w:rsidP="00BA5F36">
            <w:pPr>
              <w:rPr>
                <w:rFonts w:ascii="Calibri" w:eastAsia="Times New Roman" w:hAnsi="Calibri" w:cs="Times New Roman"/>
                <w:b/>
                <w:color w:val="000000"/>
                <w:sz w:val="20"/>
                <w:szCs w:val="20"/>
                <w:lang w:eastAsia="en-NZ"/>
              </w:rPr>
            </w:pPr>
          </w:p>
        </w:tc>
        <w:tc>
          <w:tcPr>
            <w:tcW w:w="1134" w:type="dxa"/>
          </w:tcPr>
          <w:p w14:paraId="02465966" w14:textId="77777777" w:rsidR="0042315E" w:rsidRDefault="0042315E" w:rsidP="00BA5F36">
            <w:pPr>
              <w:jc w:val="center"/>
              <w:rPr>
                <w:sz w:val="20"/>
                <w:szCs w:val="20"/>
              </w:rPr>
            </w:pPr>
            <w:r>
              <w:rPr>
                <w:sz w:val="20"/>
                <w:szCs w:val="20"/>
              </w:rPr>
              <w:t xml:space="preserve">Colombia </w:t>
            </w:r>
          </w:p>
          <w:p w14:paraId="5647B57B" w14:textId="278188A2" w:rsidR="0042315E" w:rsidRPr="00E73CF5" w:rsidRDefault="0042315E" w:rsidP="00BA5F36">
            <w:pPr>
              <w:jc w:val="center"/>
              <w:rPr>
                <w:sz w:val="20"/>
                <w:szCs w:val="20"/>
              </w:rPr>
            </w:pPr>
          </w:p>
        </w:tc>
        <w:tc>
          <w:tcPr>
            <w:tcW w:w="12049" w:type="dxa"/>
          </w:tcPr>
          <w:p w14:paraId="180A1A62" w14:textId="335B72E6" w:rsidR="0042315E" w:rsidRPr="00E73CF5" w:rsidRDefault="0042315E" w:rsidP="0042315E">
            <w:pPr>
              <w:rPr>
                <w:sz w:val="20"/>
                <w:szCs w:val="20"/>
              </w:rPr>
            </w:pPr>
            <w:r w:rsidRPr="0042315E">
              <w:rPr>
                <w:sz w:val="20"/>
                <w:szCs w:val="20"/>
              </w:rPr>
              <w:t>10</w:t>
            </w:r>
            <w:r>
              <w:rPr>
                <w:sz w:val="20"/>
                <w:szCs w:val="20"/>
              </w:rPr>
              <w:t>)</w:t>
            </w:r>
            <w:r w:rsidRPr="0042315E">
              <w:rPr>
                <w:sz w:val="20"/>
                <w:szCs w:val="20"/>
              </w:rPr>
              <w:t xml:space="preserve"> Publication of the execution of budgets and citizen follow-up scheme (Ministry of Finance and Public Credit National Directorate of National Public Budget).</w:t>
            </w:r>
            <w:r>
              <w:rPr>
                <w:sz w:val="20"/>
                <w:szCs w:val="20"/>
              </w:rPr>
              <w:t xml:space="preserve"> </w:t>
            </w:r>
            <w:r w:rsidRPr="0042315E">
              <w:rPr>
                <w:sz w:val="20"/>
                <w:szCs w:val="20"/>
              </w:rPr>
              <w:t xml:space="preserve">Publicize through the Portal of Economic Transparency the use of public resources and contracts throughout the budget cycle to promote citizen oversight. </w:t>
            </w:r>
          </w:p>
        </w:tc>
      </w:tr>
      <w:tr w:rsidR="00BA5F36" w:rsidRPr="00E73CF5" w14:paraId="756EE22A" w14:textId="77777777" w:rsidTr="000A5230">
        <w:tc>
          <w:tcPr>
            <w:tcW w:w="1413" w:type="dxa"/>
          </w:tcPr>
          <w:p w14:paraId="3C97CADC" w14:textId="77777777" w:rsidR="00BA5F36" w:rsidRPr="00E73CF5" w:rsidRDefault="00BA5F36" w:rsidP="00BA5F36">
            <w:pPr>
              <w:rPr>
                <w:rFonts w:ascii="Calibri" w:eastAsia="Times New Roman" w:hAnsi="Calibri" w:cs="Times New Roman"/>
                <w:b/>
                <w:color w:val="000000"/>
                <w:sz w:val="20"/>
                <w:szCs w:val="20"/>
                <w:lang w:eastAsia="en-NZ"/>
              </w:rPr>
            </w:pPr>
          </w:p>
        </w:tc>
        <w:tc>
          <w:tcPr>
            <w:tcW w:w="1134" w:type="dxa"/>
          </w:tcPr>
          <w:p w14:paraId="264E3244" w14:textId="53AA418F" w:rsidR="00BA5F36" w:rsidRPr="00E73CF5" w:rsidRDefault="00BA5F36" w:rsidP="00BA5F36">
            <w:pPr>
              <w:jc w:val="center"/>
              <w:rPr>
                <w:rFonts w:ascii="Calibri" w:eastAsia="Times New Roman" w:hAnsi="Calibri" w:cs="Times New Roman"/>
                <w:color w:val="000000"/>
                <w:sz w:val="20"/>
                <w:szCs w:val="20"/>
                <w:lang w:eastAsia="en-NZ"/>
              </w:rPr>
            </w:pPr>
            <w:r>
              <w:rPr>
                <w:sz w:val="20"/>
                <w:szCs w:val="20"/>
              </w:rPr>
              <w:t>Croatia</w:t>
            </w:r>
          </w:p>
        </w:tc>
        <w:tc>
          <w:tcPr>
            <w:tcW w:w="12049" w:type="dxa"/>
          </w:tcPr>
          <w:p w14:paraId="20EB141A" w14:textId="0BE7006B" w:rsidR="00BA5F36" w:rsidRPr="00E73CF5" w:rsidRDefault="00BA5F36" w:rsidP="00BA5F36">
            <w:pPr>
              <w:rPr>
                <w:rFonts w:ascii="Calibri" w:eastAsia="Times New Roman" w:hAnsi="Calibri" w:cs="Times New Roman"/>
                <w:color w:val="000000"/>
                <w:sz w:val="20"/>
                <w:szCs w:val="20"/>
                <w:lang w:eastAsia="en-NZ"/>
              </w:rPr>
            </w:pPr>
            <w:r w:rsidRPr="00BA5F36">
              <w:rPr>
                <w:sz w:val="20"/>
                <w:szCs w:val="20"/>
              </w:rPr>
              <w:t xml:space="preserve">4) Fiscal Transparency (Ministry of Finance). </w:t>
            </w:r>
            <w:r>
              <w:rPr>
                <w:sz w:val="20"/>
                <w:szCs w:val="20"/>
              </w:rPr>
              <w:t>T</w:t>
            </w:r>
            <w:r w:rsidRPr="00BA5F36">
              <w:rPr>
                <w:sz w:val="20"/>
                <w:szCs w:val="20"/>
              </w:rPr>
              <w:t>imely publication of monthly reports on budget execution, and of annual report; citizens guide to budget.</w:t>
            </w:r>
          </w:p>
        </w:tc>
      </w:tr>
      <w:tr w:rsidR="00BA5F36" w:rsidRPr="00E73CF5" w14:paraId="112CA05E" w14:textId="77777777" w:rsidTr="000A5230">
        <w:tc>
          <w:tcPr>
            <w:tcW w:w="1413" w:type="dxa"/>
          </w:tcPr>
          <w:p w14:paraId="7276C300" w14:textId="77777777" w:rsidR="00BA5F36" w:rsidRPr="00E73CF5" w:rsidRDefault="00BA5F36" w:rsidP="00BA5F36">
            <w:pPr>
              <w:rPr>
                <w:rFonts w:ascii="Calibri" w:eastAsia="Times New Roman" w:hAnsi="Calibri" w:cs="Times New Roman"/>
                <w:b/>
                <w:color w:val="000000"/>
                <w:sz w:val="20"/>
                <w:szCs w:val="20"/>
                <w:lang w:eastAsia="en-NZ"/>
              </w:rPr>
            </w:pPr>
            <w:r w:rsidRPr="00E73CF5">
              <w:rPr>
                <w:rFonts w:ascii="Calibri" w:eastAsia="Times New Roman" w:hAnsi="Calibri" w:cs="Times New Roman"/>
                <w:b/>
                <w:color w:val="000000"/>
                <w:sz w:val="20"/>
                <w:szCs w:val="20"/>
                <w:lang w:eastAsia="en-NZ"/>
              </w:rPr>
              <w:t xml:space="preserve">HLP 3: </w:t>
            </w:r>
            <w:r w:rsidRPr="00E73CF5">
              <w:rPr>
                <w:b/>
              </w:rPr>
              <w:t xml:space="preserve"> </w:t>
            </w:r>
            <w:r w:rsidRPr="00E73CF5">
              <w:rPr>
                <w:rFonts w:ascii="Calibri" w:eastAsia="Times New Roman" w:hAnsi="Calibri" w:cs="Times New Roman"/>
                <w:b/>
                <w:color w:val="000000"/>
                <w:sz w:val="20"/>
                <w:szCs w:val="20"/>
                <w:lang w:eastAsia="en-NZ"/>
              </w:rPr>
              <w:tab/>
            </w:r>
          </w:p>
          <w:p w14:paraId="5123CDE9" w14:textId="77777777" w:rsidR="00BA5F36" w:rsidRPr="00E73CF5" w:rsidRDefault="00BA5F36" w:rsidP="00BA5F36">
            <w:pPr>
              <w:rPr>
                <w:rFonts w:ascii="Calibri" w:eastAsia="Times New Roman" w:hAnsi="Calibri" w:cs="Times New Roman"/>
                <w:b/>
                <w:color w:val="000000"/>
                <w:sz w:val="20"/>
                <w:szCs w:val="20"/>
                <w:lang w:eastAsia="en-NZ"/>
              </w:rPr>
            </w:pPr>
            <w:r w:rsidRPr="00E73CF5">
              <w:rPr>
                <w:rFonts w:ascii="Calibri" w:eastAsia="Times New Roman" w:hAnsi="Calibri" w:cs="Times New Roman"/>
                <w:b/>
                <w:color w:val="000000"/>
                <w:sz w:val="20"/>
                <w:szCs w:val="20"/>
                <w:lang w:eastAsia="en-NZ"/>
              </w:rPr>
              <w:lastRenderedPageBreak/>
              <w:t xml:space="preserve">c. </w:t>
            </w:r>
            <w:r w:rsidRPr="00E73CF5">
              <w:rPr>
                <w:b/>
              </w:rPr>
              <w:t xml:space="preserve"> </w:t>
            </w:r>
            <w:r w:rsidRPr="00E73CF5">
              <w:rPr>
                <w:rFonts w:ascii="Calibri" w:eastAsia="Times New Roman" w:hAnsi="Calibri" w:cs="Times New Roman"/>
                <w:b/>
                <w:color w:val="000000"/>
                <w:sz w:val="20"/>
                <w:szCs w:val="20"/>
                <w:lang w:eastAsia="en-NZ"/>
              </w:rPr>
              <w:t>Revenues general</w:t>
            </w:r>
          </w:p>
        </w:tc>
        <w:tc>
          <w:tcPr>
            <w:tcW w:w="1134" w:type="dxa"/>
          </w:tcPr>
          <w:p w14:paraId="659F47AC" w14:textId="77777777" w:rsidR="00BA5F36" w:rsidRPr="00E73CF5" w:rsidRDefault="00BA5F36" w:rsidP="00BA5F36">
            <w:pPr>
              <w:jc w:val="center"/>
              <w:rPr>
                <w:rFonts w:ascii="Calibri" w:eastAsia="Times New Roman" w:hAnsi="Calibri" w:cs="Times New Roman"/>
                <w:color w:val="000000"/>
                <w:sz w:val="20"/>
                <w:szCs w:val="20"/>
                <w:lang w:eastAsia="en-NZ"/>
              </w:rPr>
            </w:pPr>
          </w:p>
        </w:tc>
        <w:tc>
          <w:tcPr>
            <w:tcW w:w="12049" w:type="dxa"/>
            <w:vAlign w:val="bottom"/>
          </w:tcPr>
          <w:p w14:paraId="2A8D7E22" w14:textId="77777777" w:rsidR="00BA5F36" w:rsidRPr="00E73CF5" w:rsidRDefault="00BA5F36" w:rsidP="00BA5F36">
            <w:pPr>
              <w:rPr>
                <w:rFonts w:ascii="Calibri" w:eastAsia="Times New Roman" w:hAnsi="Calibri" w:cs="Times New Roman"/>
                <w:color w:val="000000"/>
                <w:sz w:val="20"/>
                <w:szCs w:val="20"/>
                <w:lang w:eastAsia="en-NZ"/>
              </w:rPr>
            </w:pPr>
          </w:p>
        </w:tc>
      </w:tr>
      <w:tr w:rsidR="00BA5F36" w:rsidRPr="00E73CF5" w14:paraId="1EC9BE3C" w14:textId="77777777" w:rsidTr="000A5230">
        <w:tc>
          <w:tcPr>
            <w:tcW w:w="1413" w:type="dxa"/>
          </w:tcPr>
          <w:p w14:paraId="7810EA98" w14:textId="77777777" w:rsidR="00BA5F36" w:rsidRPr="00E73CF5" w:rsidRDefault="00BA5F36" w:rsidP="00BA5F36">
            <w:pPr>
              <w:rPr>
                <w:rFonts w:ascii="Calibri" w:eastAsia="Times New Roman" w:hAnsi="Calibri" w:cs="Times New Roman"/>
                <w:color w:val="000000"/>
                <w:sz w:val="20"/>
                <w:szCs w:val="20"/>
                <w:lang w:eastAsia="en-NZ"/>
              </w:rPr>
            </w:pPr>
          </w:p>
        </w:tc>
        <w:tc>
          <w:tcPr>
            <w:tcW w:w="1134" w:type="dxa"/>
          </w:tcPr>
          <w:p w14:paraId="3C04CF1E" w14:textId="3F74C069" w:rsidR="00BA5F36" w:rsidRPr="00E73CF5" w:rsidRDefault="00533DCC" w:rsidP="00BA5F36">
            <w:pPr>
              <w:jc w:val="center"/>
              <w:rPr>
                <w:rFonts w:ascii="Calibri" w:eastAsia="Times New Roman" w:hAnsi="Calibri" w:cs="Times New Roman"/>
                <w:color w:val="000000"/>
                <w:sz w:val="20"/>
                <w:szCs w:val="20"/>
                <w:lang w:eastAsia="en-NZ"/>
              </w:rPr>
            </w:pPr>
            <w:r>
              <w:rPr>
                <w:rFonts w:ascii="Calibri" w:eastAsia="Times New Roman" w:hAnsi="Calibri" w:cs="Times New Roman"/>
                <w:color w:val="000000"/>
                <w:sz w:val="20"/>
                <w:szCs w:val="20"/>
                <w:lang w:eastAsia="en-NZ"/>
              </w:rPr>
              <w:t>Chile</w:t>
            </w:r>
          </w:p>
        </w:tc>
        <w:tc>
          <w:tcPr>
            <w:tcW w:w="12049" w:type="dxa"/>
            <w:vAlign w:val="bottom"/>
          </w:tcPr>
          <w:p w14:paraId="1F8A7C28" w14:textId="4BCE6538" w:rsidR="00BA5F36" w:rsidRPr="00E73CF5" w:rsidRDefault="00533DCC" w:rsidP="00533DCC">
            <w:pPr>
              <w:rPr>
                <w:rFonts w:ascii="Calibri" w:eastAsia="Times New Roman" w:hAnsi="Calibri" w:cs="Times New Roman"/>
                <w:color w:val="000000"/>
                <w:sz w:val="20"/>
                <w:szCs w:val="20"/>
                <w:lang w:eastAsia="en-NZ"/>
              </w:rPr>
            </w:pPr>
            <w:r w:rsidRPr="00533DCC">
              <w:rPr>
                <w:rFonts w:ascii="Calibri" w:eastAsia="Times New Roman" w:hAnsi="Calibri" w:cs="Times New Roman"/>
                <w:color w:val="000000"/>
                <w:sz w:val="20"/>
                <w:szCs w:val="20"/>
                <w:lang w:eastAsia="en-NZ"/>
              </w:rPr>
              <w:t>14</w:t>
            </w:r>
            <w:r>
              <w:rPr>
                <w:rFonts w:ascii="Calibri" w:eastAsia="Times New Roman" w:hAnsi="Calibri" w:cs="Times New Roman"/>
                <w:color w:val="000000"/>
                <w:sz w:val="20"/>
                <w:szCs w:val="20"/>
                <w:lang w:eastAsia="en-NZ"/>
              </w:rPr>
              <w:t>)</w:t>
            </w:r>
            <w:r w:rsidRPr="00533DCC">
              <w:rPr>
                <w:rFonts w:ascii="Calibri" w:eastAsia="Times New Roman" w:hAnsi="Calibri" w:cs="Times New Roman"/>
                <w:color w:val="000000"/>
                <w:sz w:val="20"/>
                <w:szCs w:val="20"/>
                <w:lang w:eastAsia="en-NZ"/>
              </w:rPr>
              <w:t xml:space="preserve"> Website availability of economic and tax information</w:t>
            </w:r>
            <w:r>
              <w:rPr>
                <w:rFonts w:ascii="Calibri" w:eastAsia="Times New Roman" w:hAnsi="Calibri" w:cs="Times New Roman"/>
                <w:color w:val="000000"/>
                <w:sz w:val="20"/>
                <w:szCs w:val="20"/>
                <w:lang w:eastAsia="en-NZ"/>
              </w:rPr>
              <w:t xml:space="preserve">. </w:t>
            </w:r>
            <w:r w:rsidRPr="00533DCC">
              <w:rPr>
                <w:rFonts w:ascii="Calibri" w:eastAsia="Times New Roman" w:hAnsi="Calibri" w:cs="Times New Roman"/>
                <w:color w:val="000000"/>
                <w:sz w:val="20"/>
                <w:szCs w:val="20"/>
                <w:lang w:eastAsia="en-NZ"/>
              </w:rPr>
              <w:t>This initiative aims to improve the quantity, quality and visualization of tax information that is available at the Internal Revenue Service website. Even though the graphic visualization platform has been implemented, its dissemination and evaluation are yet to be completed.</w:t>
            </w:r>
          </w:p>
        </w:tc>
      </w:tr>
      <w:tr w:rsidR="00BA5F36" w:rsidRPr="00E73CF5" w14:paraId="06391D94" w14:textId="77777777" w:rsidTr="000A5230">
        <w:tc>
          <w:tcPr>
            <w:tcW w:w="1413" w:type="dxa"/>
          </w:tcPr>
          <w:p w14:paraId="3C93C403" w14:textId="77777777" w:rsidR="00BA5F36" w:rsidRPr="00E73CF5" w:rsidRDefault="00BA5F36" w:rsidP="00BA5F36">
            <w:pPr>
              <w:rPr>
                <w:rFonts w:ascii="Calibri" w:eastAsia="Times New Roman" w:hAnsi="Calibri" w:cs="Times New Roman"/>
                <w:color w:val="000000"/>
                <w:sz w:val="20"/>
                <w:szCs w:val="20"/>
                <w:lang w:eastAsia="en-NZ"/>
              </w:rPr>
            </w:pPr>
          </w:p>
        </w:tc>
        <w:tc>
          <w:tcPr>
            <w:tcW w:w="1134" w:type="dxa"/>
          </w:tcPr>
          <w:p w14:paraId="0BD3741F" w14:textId="77777777" w:rsidR="00BA5F36" w:rsidRPr="00E73CF5" w:rsidRDefault="00BA5F36" w:rsidP="00BA5F36">
            <w:pPr>
              <w:jc w:val="center"/>
              <w:rPr>
                <w:rFonts w:ascii="Calibri" w:eastAsia="Times New Roman" w:hAnsi="Calibri" w:cs="Times New Roman"/>
                <w:color w:val="000000"/>
                <w:sz w:val="20"/>
                <w:szCs w:val="20"/>
                <w:lang w:eastAsia="en-NZ"/>
              </w:rPr>
            </w:pPr>
            <w:r w:rsidRPr="00E73CF5">
              <w:rPr>
                <w:rFonts w:ascii="Calibri" w:eastAsia="Times New Roman" w:hAnsi="Calibri" w:cs="Times New Roman"/>
                <w:color w:val="000000"/>
                <w:sz w:val="20"/>
                <w:szCs w:val="20"/>
                <w:lang w:eastAsia="en-NZ"/>
              </w:rPr>
              <w:t>Guatemala</w:t>
            </w:r>
          </w:p>
          <w:p w14:paraId="4A1A723F" w14:textId="2F637450" w:rsidR="00BA5F36" w:rsidRPr="00E73CF5" w:rsidRDefault="00BA5F36" w:rsidP="00BA5F36">
            <w:pPr>
              <w:jc w:val="center"/>
              <w:rPr>
                <w:rFonts w:ascii="Calibri" w:eastAsia="Times New Roman" w:hAnsi="Calibri" w:cs="Times New Roman"/>
                <w:color w:val="000000"/>
                <w:sz w:val="20"/>
                <w:szCs w:val="20"/>
                <w:lang w:eastAsia="en-NZ"/>
              </w:rPr>
            </w:pPr>
          </w:p>
        </w:tc>
        <w:tc>
          <w:tcPr>
            <w:tcW w:w="12049" w:type="dxa"/>
            <w:vAlign w:val="bottom"/>
          </w:tcPr>
          <w:p w14:paraId="739DC26F" w14:textId="77777777" w:rsidR="00BA5F36" w:rsidRPr="00E73CF5" w:rsidRDefault="00BA5F36" w:rsidP="00BA5F36">
            <w:pPr>
              <w:rPr>
                <w:rFonts w:ascii="Calibri" w:eastAsia="Times New Roman" w:hAnsi="Calibri" w:cs="Times New Roman"/>
                <w:color w:val="000000"/>
                <w:sz w:val="20"/>
                <w:szCs w:val="20"/>
                <w:lang w:eastAsia="en-NZ"/>
              </w:rPr>
            </w:pPr>
            <w:r w:rsidRPr="00E73CF5">
              <w:rPr>
                <w:rFonts w:ascii="Calibri" w:eastAsia="Times New Roman" w:hAnsi="Calibri" w:cs="Times New Roman"/>
                <w:color w:val="000000"/>
                <w:sz w:val="20"/>
                <w:szCs w:val="20"/>
                <w:lang w:eastAsia="en-NZ"/>
              </w:rPr>
              <w:t>20) Promote tax transparency by establishing mechanisms that facilitate access to tax information in open data formats, modernizing the taxpayer registry, publishing the SAT's institutional results against the goals set out in its work plan 2016-2020, publication of studies on tax evasion, provide tax collection information by region and department, and continuing efforts to comply with</w:t>
            </w:r>
            <w:r w:rsidRPr="00E73CF5">
              <w:t xml:space="preserve"> </w:t>
            </w:r>
            <w:r w:rsidRPr="00E73CF5">
              <w:rPr>
                <w:rFonts w:ascii="Calibri" w:eastAsia="Times New Roman" w:hAnsi="Calibri" w:cs="Times New Roman"/>
                <w:color w:val="000000"/>
                <w:sz w:val="20"/>
                <w:szCs w:val="20"/>
                <w:lang w:eastAsia="en-NZ"/>
              </w:rPr>
              <w:t xml:space="preserve">the OECD’s Global Tax Transparency Forum Standard.  Citizen tax morale improves. </w:t>
            </w:r>
          </w:p>
        </w:tc>
      </w:tr>
      <w:tr w:rsidR="0042315E" w:rsidRPr="00E73CF5" w14:paraId="7AA391F4" w14:textId="77777777" w:rsidTr="000A5230">
        <w:tc>
          <w:tcPr>
            <w:tcW w:w="1413" w:type="dxa"/>
          </w:tcPr>
          <w:p w14:paraId="114A8299" w14:textId="77777777" w:rsidR="0042315E" w:rsidRPr="00E73CF5" w:rsidRDefault="0042315E" w:rsidP="00BA5F36">
            <w:pPr>
              <w:rPr>
                <w:rFonts w:ascii="Calibri" w:eastAsia="Times New Roman" w:hAnsi="Calibri" w:cs="Times New Roman"/>
                <w:color w:val="000000"/>
                <w:sz w:val="20"/>
                <w:szCs w:val="20"/>
                <w:lang w:eastAsia="en-NZ"/>
              </w:rPr>
            </w:pPr>
          </w:p>
        </w:tc>
        <w:tc>
          <w:tcPr>
            <w:tcW w:w="1134" w:type="dxa"/>
          </w:tcPr>
          <w:p w14:paraId="7280D1FD" w14:textId="20923580" w:rsidR="0042315E" w:rsidRDefault="0042315E" w:rsidP="00BA5F36">
            <w:pPr>
              <w:jc w:val="center"/>
              <w:rPr>
                <w:sz w:val="20"/>
                <w:szCs w:val="20"/>
              </w:rPr>
            </w:pPr>
            <w:r>
              <w:rPr>
                <w:sz w:val="20"/>
                <w:szCs w:val="20"/>
              </w:rPr>
              <w:t>Nigeria</w:t>
            </w:r>
          </w:p>
        </w:tc>
        <w:tc>
          <w:tcPr>
            <w:tcW w:w="12049" w:type="dxa"/>
          </w:tcPr>
          <w:p w14:paraId="5304CFC5" w14:textId="62ED25AC" w:rsidR="0042315E" w:rsidRPr="00BA5F36" w:rsidRDefault="0042315E" w:rsidP="0042315E">
            <w:pPr>
              <w:rPr>
                <w:rFonts w:ascii="Calibri" w:eastAsia="Times New Roman" w:hAnsi="Calibri" w:cs="Times New Roman"/>
                <w:color w:val="000000"/>
                <w:sz w:val="20"/>
                <w:szCs w:val="20"/>
                <w:lang w:eastAsia="en-NZ"/>
              </w:rPr>
            </w:pPr>
            <w:r w:rsidRPr="0042315E">
              <w:rPr>
                <w:rFonts w:ascii="Calibri" w:eastAsia="Times New Roman" w:hAnsi="Calibri" w:cs="Times New Roman"/>
                <w:color w:val="000000"/>
                <w:sz w:val="20"/>
                <w:szCs w:val="20"/>
                <w:lang w:eastAsia="en-NZ"/>
              </w:rPr>
              <w:t>4</w:t>
            </w:r>
            <w:r>
              <w:rPr>
                <w:rFonts w:ascii="Calibri" w:eastAsia="Times New Roman" w:hAnsi="Calibri" w:cs="Times New Roman"/>
                <w:color w:val="000000"/>
                <w:sz w:val="20"/>
                <w:szCs w:val="20"/>
                <w:lang w:eastAsia="en-NZ"/>
              </w:rPr>
              <w:t>)</w:t>
            </w:r>
            <w:r w:rsidRPr="0042315E">
              <w:rPr>
                <w:rFonts w:ascii="Calibri" w:eastAsia="Times New Roman" w:hAnsi="Calibri" w:cs="Times New Roman"/>
                <w:color w:val="000000"/>
                <w:sz w:val="20"/>
                <w:szCs w:val="20"/>
                <w:lang w:eastAsia="en-NZ"/>
              </w:rPr>
              <w:t xml:space="preserve"> Tax Reporting Standards (Federal Inland Revenue Service).</w:t>
            </w:r>
            <w:r>
              <w:rPr>
                <w:rFonts w:ascii="Calibri" w:eastAsia="Times New Roman" w:hAnsi="Calibri" w:cs="Times New Roman"/>
                <w:color w:val="000000"/>
                <w:sz w:val="20"/>
                <w:szCs w:val="20"/>
                <w:lang w:eastAsia="en-NZ"/>
              </w:rPr>
              <w:t xml:space="preserve"> </w:t>
            </w:r>
            <w:r w:rsidRPr="0042315E">
              <w:rPr>
                <w:rFonts w:ascii="Calibri" w:eastAsia="Times New Roman" w:hAnsi="Calibri" w:cs="Times New Roman"/>
                <w:color w:val="000000"/>
                <w:sz w:val="20"/>
                <w:szCs w:val="20"/>
                <w:lang w:eastAsia="en-NZ"/>
              </w:rPr>
              <w:t xml:space="preserve">Adoption of common reporting standards and the Addis Tax initiative aimed at improving the fairness, transparency, efficiency and effectiveness of the tax system. </w:t>
            </w:r>
          </w:p>
        </w:tc>
      </w:tr>
      <w:tr w:rsidR="00BA5F36" w:rsidRPr="00E73CF5" w14:paraId="17447AF1" w14:textId="77777777" w:rsidTr="000A5230">
        <w:tc>
          <w:tcPr>
            <w:tcW w:w="1413" w:type="dxa"/>
          </w:tcPr>
          <w:p w14:paraId="3A85EFEC" w14:textId="77777777" w:rsidR="00BA5F36" w:rsidRPr="00E73CF5" w:rsidRDefault="00BA5F36" w:rsidP="00BA5F36">
            <w:pPr>
              <w:rPr>
                <w:rFonts w:ascii="Calibri" w:eastAsia="Times New Roman" w:hAnsi="Calibri" w:cs="Times New Roman"/>
                <w:color w:val="000000"/>
                <w:sz w:val="20"/>
                <w:szCs w:val="20"/>
                <w:lang w:eastAsia="en-NZ"/>
              </w:rPr>
            </w:pPr>
          </w:p>
        </w:tc>
        <w:tc>
          <w:tcPr>
            <w:tcW w:w="1134" w:type="dxa"/>
          </w:tcPr>
          <w:p w14:paraId="41013F9F" w14:textId="77777777" w:rsidR="00BA5F36" w:rsidRDefault="00BA5F36" w:rsidP="00BA5F36">
            <w:pPr>
              <w:jc w:val="center"/>
              <w:rPr>
                <w:sz w:val="20"/>
                <w:szCs w:val="20"/>
              </w:rPr>
            </w:pPr>
            <w:r>
              <w:rPr>
                <w:sz w:val="20"/>
                <w:szCs w:val="20"/>
              </w:rPr>
              <w:t xml:space="preserve">Tunisia </w:t>
            </w:r>
          </w:p>
          <w:p w14:paraId="3F51FBBD" w14:textId="1571E327" w:rsidR="00BA5F36" w:rsidRPr="00E73CF5" w:rsidRDefault="00BA5F36" w:rsidP="00BA5F36">
            <w:pPr>
              <w:jc w:val="center"/>
              <w:rPr>
                <w:sz w:val="20"/>
                <w:szCs w:val="20"/>
              </w:rPr>
            </w:pPr>
          </w:p>
        </w:tc>
        <w:tc>
          <w:tcPr>
            <w:tcW w:w="12049" w:type="dxa"/>
          </w:tcPr>
          <w:p w14:paraId="3BE64F2F" w14:textId="77777777" w:rsidR="00BA5F36" w:rsidRPr="00BA5F36" w:rsidRDefault="00BA5F36" w:rsidP="00BA5F36">
            <w:pPr>
              <w:rPr>
                <w:rFonts w:ascii="Calibri" w:eastAsia="Times New Roman" w:hAnsi="Calibri" w:cs="Times New Roman"/>
                <w:color w:val="000000"/>
                <w:sz w:val="20"/>
                <w:szCs w:val="20"/>
                <w:lang w:eastAsia="en-NZ"/>
              </w:rPr>
            </w:pPr>
            <w:r w:rsidRPr="00BA5F36">
              <w:rPr>
                <w:rFonts w:ascii="Calibri" w:eastAsia="Times New Roman" w:hAnsi="Calibri" w:cs="Times New Roman"/>
                <w:color w:val="000000"/>
                <w:sz w:val="20"/>
                <w:szCs w:val="20"/>
                <w:lang w:eastAsia="en-NZ"/>
              </w:rPr>
              <w:t>8) Promoting financial and fiscal transparency (Ministry of Finance)</w:t>
            </w:r>
          </w:p>
          <w:p w14:paraId="473354AE" w14:textId="416ED741" w:rsidR="00BA5F36" w:rsidRPr="00BA5F36" w:rsidRDefault="00BA5F36" w:rsidP="00BA5F36">
            <w:pPr>
              <w:rPr>
                <w:rFonts w:ascii="Calibri" w:eastAsia="Times New Roman" w:hAnsi="Calibri" w:cs="Times New Roman"/>
                <w:color w:val="000000"/>
                <w:sz w:val="20"/>
                <w:szCs w:val="20"/>
                <w:lang w:eastAsia="en-NZ"/>
              </w:rPr>
            </w:pPr>
            <w:r w:rsidRPr="00BA5F36">
              <w:rPr>
                <w:rFonts w:ascii="Calibri" w:eastAsia="Times New Roman" w:hAnsi="Calibri" w:cs="Times New Roman"/>
                <w:color w:val="000000"/>
                <w:sz w:val="20"/>
                <w:szCs w:val="20"/>
                <w:lang w:eastAsia="en-NZ"/>
              </w:rPr>
              <w:t>Encourage the tax payers to respect their fiscal duties. It also aims at the increase of the state budget resources through better exploitation of the tax energy, especially by reducing tax expenditures.</w:t>
            </w:r>
          </w:p>
        </w:tc>
      </w:tr>
      <w:tr w:rsidR="00BA5F36" w:rsidRPr="00E73CF5" w14:paraId="3829020C" w14:textId="77777777" w:rsidTr="000A5230">
        <w:tc>
          <w:tcPr>
            <w:tcW w:w="1413" w:type="dxa"/>
          </w:tcPr>
          <w:p w14:paraId="583076FA" w14:textId="77777777" w:rsidR="00BA5F36" w:rsidRPr="00E73CF5" w:rsidRDefault="00BA5F36" w:rsidP="00BA5F36">
            <w:pPr>
              <w:rPr>
                <w:rFonts w:ascii="Calibri" w:eastAsia="Times New Roman" w:hAnsi="Calibri" w:cs="Times New Roman"/>
                <w:color w:val="000000"/>
                <w:sz w:val="20"/>
                <w:szCs w:val="20"/>
                <w:lang w:eastAsia="en-NZ"/>
              </w:rPr>
            </w:pPr>
          </w:p>
        </w:tc>
        <w:tc>
          <w:tcPr>
            <w:tcW w:w="1134" w:type="dxa"/>
          </w:tcPr>
          <w:p w14:paraId="074C0EF8" w14:textId="25D97405" w:rsidR="00BA5F36" w:rsidRPr="00E73CF5" w:rsidRDefault="00BA5F36" w:rsidP="00EA7718">
            <w:pPr>
              <w:jc w:val="center"/>
              <w:rPr>
                <w:sz w:val="20"/>
                <w:szCs w:val="20"/>
              </w:rPr>
            </w:pPr>
            <w:r w:rsidRPr="00E73CF5">
              <w:rPr>
                <w:sz w:val="20"/>
                <w:szCs w:val="20"/>
              </w:rPr>
              <w:t>Uruguay</w:t>
            </w:r>
          </w:p>
        </w:tc>
        <w:tc>
          <w:tcPr>
            <w:tcW w:w="12049" w:type="dxa"/>
          </w:tcPr>
          <w:p w14:paraId="0BE70149" w14:textId="77777777" w:rsidR="00BA5F36" w:rsidRPr="00E73CF5" w:rsidRDefault="00BA5F36" w:rsidP="00BA5F36">
            <w:pPr>
              <w:rPr>
                <w:sz w:val="20"/>
                <w:szCs w:val="20"/>
              </w:rPr>
            </w:pPr>
            <w:r w:rsidRPr="00E73CF5">
              <w:rPr>
                <w:sz w:val="20"/>
                <w:szCs w:val="20"/>
              </w:rPr>
              <w:t xml:space="preserve">8) To publish statistics and reports of the foreign trade customs operations on the DNA website. </w:t>
            </w:r>
          </w:p>
        </w:tc>
      </w:tr>
      <w:tr w:rsidR="00BA5F36" w:rsidRPr="00E73CF5" w14:paraId="59FC8D96" w14:textId="77777777" w:rsidTr="000A5230">
        <w:tc>
          <w:tcPr>
            <w:tcW w:w="1413" w:type="dxa"/>
          </w:tcPr>
          <w:p w14:paraId="18404680" w14:textId="77777777" w:rsidR="00BA5F36" w:rsidRPr="00E73CF5" w:rsidRDefault="00BA5F36" w:rsidP="00BA5F36">
            <w:pPr>
              <w:rPr>
                <w:rFonts w:ascii="Calibri" w:eastAsia="Times New Roman" w:hAnsi="Calibri" w:cs="Times New Roman"/>
                <w:b/>
                <w:color w:val="000000"/>
                <w:sz w:val="20"/>
                <w:szCs w:val="20"/>
                <w:lang w:eastAsia="en-NZ"/>
              </w:rPr>
            </w:pPr>
            <w:r w:rsidRPr="00E73CF5">
              <w:rPr>
                <w:rFonts w:ascii="Calibri" w:eastAsia="Times New Roman" w:hAnsi="Calibri" w:cs="Times New Roman"/>
                <w:b/>
                <w:color w:val="000000"/>
                <w:sz w:val="20"/>
                <w:szCs w:val="20"/>
                <w:lang w:eastAsia="en-NZ"/>
              </w:rPr>
              <w:t>HLP 3:</w:t>
            </w:r>
          </w:p>
          <w:p w14:paraId="74DD628E" w14:textId="77777777" w:rsidR="00BA5F36" w:rsidRPr="00E73CF5" w:rsidRDefault="00BA5F36" w:rsidP="00BA5F36">
            <w:pPr>
              <w:rPr>
                <w:rFonts w:ascii="Calibri" w:eastAsia="Times New Roman" w:hAnsi="Calibri" w:cs="Times New Roman"/>
                <w:color w:val="000000"/>
                <w:sz w:val="20"/>
                <w:szCs w:val="20"/>
                <w:lang w:eastAsia="en-NZ"/>
              </w:rPr>
            </w:pPr>
            <w:r w:rsidRPr="00E73CF5">
              <w:rPr>
                <w:rFonts w:ascii="Calibri" w:eastAsia="Times New Roman" w:hAnsi="Calibri" w:cs="Times New Roman"/>
                <w:b/>
                <w:color w:val="000000"/>
                <w:sz w:val="20"/>
                <w:szCs w:val="20"/>
                <w:lang w:eastAsia="en-NZ"/>
              </w:rPr>
              <w:t>d. Natural resource revenues</w:t>
            </w:r>
          </w:p>
        </w:tc>
        <w:tc>
          <w:tcPr>
            <w:tcW w:w="1134" w:type="dxa"/>
          </w:tcPr>
          <w:p w14:paraId="6C1ADB6B" w14:textId="77777777" w:rsidR="00BA5F36" w:rsidRPr="00E73CF5" w:rsidRDefault="00BA5F36" w:rsidP="00BA5F36">
            <w:pPr>
              <w:jc w:val="center"/>
              <w:rPr>
                <w:rFonts w:ascii="Calibri" w:eastAsia="Times New Roman" w:hAnsi="Calibri" w:cs="Times New Roman"/>
                <w:color w:val="000000"/>
                <w:sz w:val="20"/>
                <w:szCs w:val="20"/>
                <w:lang w:eastAsia="en-NZ"/>
              </w:rPr>
            </w:pPr>
          </w:p>
        </w:tc>
        <w:tc>
          <w:tcPr>
            <w:tcW w:w="12049" w:type="dxa"/>
            <w:vAlign w:val="bottom"/>
          </w:tcPr>
          <w:p w14:paraId="5D607F32" w14:textId="77777777" w:rsidR="00BA5F36" w:rsidRPr="00E73CF5" w:rsidRDefault="00BA5F36" w:rsidP="00BA5F36">
            <w:pPr>
              <w:rPr>
                <w:rFonts w:ascii="Calibri" w:eastAsia="Times New Roman" w:hAnsi="Calibri" w:cs="Times New Roman"/>
                <w:color w:val="000000"/>
                <w:sz w:val="20"/>
                <w:szCs w:val="20"/>
                <w:lang w:eastAsia="en-NZ"/>
              </w:rPr>
            </w:pPr>
          </w:p>
        </w:tc>
      </w:tr>
      <w:tr w:rsidR="00BA5F36" w:rsidRPr="00E73CF5" w14:paraId="1162C508" w14:textId="77777777" w:rsidTr="000A5230">
        <w:tc>
          <w:tcPr>
            <w:tcW w:w="1413" w:type="dxa"/>
          </w:tcPr>
          <w:p w14:paraId="48D086F6" w14:textId="77777777" w:rsidR="00BA5F36" w:rsidRPr="00E73CF5" w:rsidRDefault="00BA5F36" w:rsidP="00BA5F36">
            <w:pPr>
              <w:rPr>
                <w:rFonts w:ascii="Calibri" w:eastAsia="Times New Roman" w:hAnsi="Calibri" w:cs="Times New Roman"/>
                <w:color w:val="000000"/>
                <w:sz w:val="20"/>
                <w:szCs w:val="20"/>
                <w:lang w:eastAsia="en-NZ"/>
              </w:rPr>
            </w:pPr>
          </w:p>
        </w:tc>
        <w:tc>
          <w:tcPr>
            <w:tcW w:w="1134" w:type="dxa"/>
          </w:tcPr>
          <w:p w14:paraId="02D6728C" w14:textId="17E8E0BC" w:rsidR="00BA5F36" w:rsidRPr="00E73CF5" w:rsidRDefault="00533DCC" w:rsidP="00BA5F36">
            <w:pPr>
              <w:jc w:val="center"/>
              <w:rPr>
                <w:rFonts w:ascii="Calibri" w:eastAsia="Times New Roman" w:hAnsi="Calibri" w:cs="Times New Roman"/>
                <w:color w:val="000000"/>
                <w:sz w:val="20"/>
                <w:szCs w:val="20"/>
                <w:lang w:eastAsia="en-NZ"/>
              </w:rPr>
            </w:pPr>
            <w:r>
              <w:rPr>
                <w:rFonts w:ascii="Calibri" w:eastAsia="Times New Roman" w:hAnsi="Calibri" w:cs="Times New Roman"/>
                <w:color w:val="000000"/>
                <w:sz w:val="20"/>
                <w:szCs w:val="20"/>
                <w:lang w:eastAsia="en-NZ"/>
              </w:rPr>
              <w:t>Chile</w:t>
            </w:r>
          </w:p>
        </w:tc>
        <w:tc>
          <w:tcPr>
            <w:tcW w:w="12049" w:type="dxa"/>
            <w:vAlign w:val="bottom"/>
          </w:tcPr>
          <w:p w14:paraId="77F51CE7" w14:textId="07791B82" w:rsidR="00BA5F36" w:rsidRPr="00E73CF5" w:rsidRDefault="00533DCC" w:rsidP="00533DCC">
            <w:pPr>
              <w:rPr>
                <w:rFonts w:ascii="Calibri" w:eastAsia="Times New Roman" w:hAnsi="Calibri" w:cs="Times New Roman"/>
                <w:color w:val="000000"/>
                <w:sz w:val="20"/>
                <w:szCs w:val="20"/>
                <w:lang w:eastAsia="en-NZ"/>
              </w:rPr>
            </w:pPr>
            <w:r w:rsidRPr="00533DCC">
              <w:rPr>
                <w:rFonts w:ascii="Calibri" w:eastAsia="Times New Roman" w:hAnsi="Calibri" w:cs="Times New Roman"/>
                <w:color w:val="000000"/>
                <w:sz w:val="20"/>
                <w:szCs w:val="20"/>
                <w:lang w:eastAsia="en-NZ"/>
              </w:rPr>
              <w:t>4</w:t>
            </w:r>
            <w:r>
              <w:rPr>
                <w:rFonts w:ascii="Calibri" w:eastAsia="Times New Roman" w:hAnsi="Calibri" w:cs="Times New Roman"/>
                <w:color w:val="000000"/>
                <w:sz w:val="20"/>
                <w:szCs w:val="20"/>
                <w:lang w:eastAsia="en-NZ"/>
              </w:rPr>
              <w:t>)</w:t>
            </w:r>
            <w:r w:rsidRPr="00533DCC">
              <w:rPr>
                <w:rFonts w:ascii="Calibri" w:eastAsia="Times New Roman" w:hAnsi="Calibri" w:cs="Times New Roman"/>
                <w:color w:val="000000"/>
                <w:sz w:val="20"/>
                <w:szCs w:val="20"/>
                <w:lang w:eastAsia="en-NZ"/>
              </w:rPr>
              <w:t xml:space="preserve"> Transparency website on </w:t>
            </w:r>
            <w:proofErr w:type="spellStart"/>
            <w:r w:rsidRPr="00533DCC">
              <w:rPr>
                <w:rFonts w:ascii="Calibri" w:eastAsia="Times New Roman" w:hAnsi="Calibri" w:cs="Times New Roman"/>
                <w:color w:val="000000"/>
                <w:sz w:val="20"/>
                <w:szCs w:val="20"/>
                <w:lang w:eastAsia="en-NZ"/>
              </w:rPr>
              <w:t>Codelco</w:t>
            </w:r>
            <w:proofErr w:type="spellEnd"/>
            <w:r w:rsidRPr="00533DCC">
              <w:rPr>
                <w:rFonts w:ascii="Calibri" w:eastAsia="Times New Roman" w:hAnsi="Calibri" w:cs="Times New Roman"/>
                <w:color w:val="000000"/>
                <w:sz w:val="20"/>
                <w:szCs w:val="20"/>
                <w:lang w:eastAsia="en-NZ"/>
              </w:rPr>
              <w:t xml:space="preserve"> operations and impacts</w:t>
            </w:r>
            <w:r>
              <w:rPr>
                <w:rFonts w:ascii="Calibri" w:eastAsia="Times New Roman" w:hAnsi="Calibri" w:cs="Times New Roman"/>
                <w:color w:val="000000"/>
                <w:sz w:val="20"/>
                <w:szCs w:val="20"/>
                <w:lang w:eastAsia="en-NZ"/>
              </w:rPr>
              <w:t xml:space="preserve">. </w:t>
            </w:r>
            <w:proofErr w:type="spellStart"/>
            <w:r w:rsidRPr="00533DCC">
              <w:rPr>
                <w:rFonts w:ascii="Calibri" w:eastAsia="Times New Roman" w:hAnsi="Calibri" w:cs="Times New Roman"/>
                <w:color w:val="000000"/>
                <w:sz w:val="20"/>
                <w:szCs w:val="20"/>
                <w:lang w:eastAsia="en-NZ"/>
              </w:rPr>
              <w:t>Codelco</w:t>
            </w:r>
            <w:proofErr w:type="spellEnd"/>
            <w:r w:rsidRPr="00533DCC">
              <w:rPr>
                <w:rFonts w:ascii="Calibri" w:eastAsia="Times New Roman" w:hAnsi="Calibri" w:cs="Times New Roman"/>
                <w:color w:val="000000"/>
                <w:sz w:val="20"/>
                <w:szCs w:val="20"/>
                <w:lang w:eastAsia="en-NZ"/>
              </w:rPr>
              <w:t xml:space="preserve"> operations have an environmental, social, economic and political impact on citizens living in the surrounding areas of their operation </w:t>
            </w:r>
            <w:proofErr w:type="spellStart"/>
            <w:r w:rsidRPr="00533DCC">
              <w:rPr>
                <w:rFonts w:ascii="Calibri" w:eastAsia="Times New Roman" w:hAnsi="Calibri" w:cs="Times New Roman"/>
                <w:color w:val="000000"/>
                <w:sz w:val="20"/>
                <w:szCs w:val="20"/>
                <w:lang w:eastAsia="en-NZ"/>
              </w:rPr>
              <w:t>centers</w:t>
            </w:r>
            <w:proofErr w:type="spellEnd"/>
            <w:r w:rsidRPr="00533DCC">
              <w:rPr>
                <w:rFonts w:ascii="Calibri" w:eastAsia="Times New Roman" w:hAnsi="Calibri" w:cs="Times New Roman"/>
                <w:color w:val="000000"/>
                <w:sz w:val="20"/>
                <w:szCs w:val="20"/>
                <w:lang w:eastAsia="en-NZ"/>
              </w:rPr>
              <w:t xml:space="preserve">. This commitment aims to disseminate the possible effects of </w:t>
            </w:r>
            <w:proofErr w:type="spellStart"/>
            <w:r w:rsidRPr="00533DCC">
              <w:rPr>
                <w:rFonts w:ascii="Calibri" w:eastAsia="Times New Roman" w:hAnsi="Calibri" w:cs="Times New Roman"/>
                <w:color w:val="000000"/>
                <w:sz w:val="20"/>
                <w:szCs w:val="20"/>
                <w:lang w:eastAsia="en-NZ"/>
              </w:rPr>
              <w:t>Coldelco</w:t>
            </w:r>
            <w:proofErr w:type="spellEnd"/>
            <w:r w:rsidRPr="00533DCC">
              <w:rPr>
                <w:rFonts w:ascii="Calibri" w:eastAsia="Times New Roman" w:hAnsi="Calibri" w:cs="Times New Roman"/>
                <w:color w:val="000000"/>
                <w:sz w:val="20"/>
                <w:szCs w:val="20"/>
                <w:lang w:eastAsia="en-NZ"/>
              </w:rPr>
              <w:t xml:space="preserve"> activities, but it is necessary to promote real citizen influence in the areas of operation that affect them directly.</w:t>
            </w:r>
          </w:p>
        </w:tc>
      </w:tr>
      <w:tr w:rsidR="00BA5F36" w:rsidRPr="00E73CF5" w14:paraId="7A0A5858" w14:textId="77777777" w:rsidTr="000A5230">
        <w:tc>
          <w:tcPr>
            <w:tcW w:w="1413" w:type="dxa"/>
          </w:tcPr>
          <w:p w14:paraId="152D78BC" w14:textId="77777777" w:rsidR="00BA5F36" w:rsidRPr="00E73CF5" w:rsidRDefault="00BA5F36" w:rsidP="00BA5F36">
            <w:pPr>
              <w:rPr>
                <w:rFonts w:ascii="Calibri" w:eastAsia="Times New Roman" w:hAnsi="Calibri" w:cs="Times New Roman"/>
                <w:color w:val="000000"/>
                <w:sz w:val="20"/>
                <w:szCs w:val="20"/>
                <w:lang w:eastAsia="en-NZ"/>
              </w:rPr>
            </w:pPr>
          </w:p>
        </w:tc>
        <w:tc>
          <w:tcPr>
            <w:tcW w:w="1134" w:type="dxa"/>
          </w:tcPr>
          <w:p w14:paraId="0C7D79F3" w14:textId="77777777" w:rsidR="00BA5F36" w:rsidRPr="00E73CF5" w:rsidRDefault="00BA5F36" w:rsidP="00BA5F36">
            <w:pPr>
              <w:jc w:val="center"/>
              <w:rPr>
                <w:rFonts w:ascii="Calibri" w:eastAsia="Times New Roman" w:hAnsi="Calibri" w:cs="Times New Roman"/>
                <w:color w:val="000000"/>
                <w:sz w:val="20"/>
                <w:szCs w:val="20"/>
                <w:lang w:eastAsia="en-NZ"/>
              </w:rPr>
            </w:pPr>
            <w:r w:rsidRPr="00E73CF5">
              <w:rPr>
                <w:rFonts w:ascii="Calibri" w:eastAsia="Times New Roman" w:hAnsi="Calibri" w:cs="Times New Roman"/>
                <w:color w:val="000000"/>
                <w:sz w:val="20"/>
                <w:szCs w:val="20"/>
                <w:lang w:eastAsia="en-NZ"/>
              </w:rPr>
              <w:t>Colombia</w:t>
            </w:r>
          </w:p>
          <w:p w14:paraId="44BC14DA" w14:textId="7AB6F7E7" w:rsidR="00BA5F36" w:rsidRPr="00E73CF5" w:rsidRDefault="00BA5F36" w:rsidP="00BA5F36">
            <w:pPr>
              <w:jc w:val="center"/>
              <w:rPr>
                <w:rFonts w:ascii="Calibri" w:eastAsia="Times New Roman" w:hAnsi="Calibri" w:cs="Times New Roman"/>
                <w:color w:val="000000"/>
                <w:sz w:val="20"/>
                <w:szCs w:val="20"/>
                <w:lang w:eastAsia="en-NZ"/>
              </w:rPr>
            </w:pPr>
          </w:p>
        </w:tc>
        <w:tc>
          <w:tcPr>
            <w:tcW w:w="12049" w:type="dxa"/>
            <w:vAlign w:val="bottom"/>
          </w:tcPr>
          <w:p w14:paraId="7E78C429" w14:textId="77777777" w:rsidR="00BA5F36" w:rsidRPr="00E73CF5" w:rsidRDefault="00BA5F36" w:rsidP="00BA5F36">
            <w:pPr>
              <w:rPr>
                <w:rFonts w:ascii="Calibri" w:eastAsia="Times New Roman" w:hAnsi="Calibri" w:cs="Times New Roman"/>
                <w:color w:val="000000"/>
                <w:sz w:val="20"/>
                <w:szCs w:val="20"/>
                <w:lang w:eastAsia="en-NZ"/>
              </w:rPr>
            </w:pPr>
            <w:r w:rsidRPr="00E73CF5">
              <w:rPr>
                <w:rFonts w:ascii="Calibri" w:eastAsia="Times New Roman" w:hAnsi="Calibri" w:cs="Times New Roman"/>
                <w:color w:val="000000"/>
                <w:sz w:val="20"/>
                <w:szCs w:val="20"/>
                <w:lang w:eastAsia="en-NZ"/>
              </w:rPr>
              <w:t xml:space="preserve">8) Promote the effective use of EITI information, training, awareness-raising and capacity-building in the citizenship, local authorities and social organizations - national, territorial and local. Promote mechanisms for public accountability around the value chain. </w:t>
            </w:r>
          </w:p>
        </w:tc>
      </w:tr>
      <w:tr w:rsidR="00BA5F36" w:rsidRPr="00E73CF5" w14:paraId="7E94A16A" w14:textId="77777777" w:rsidTr="000A5230">
        <w:tc>
          <w:tcPr>
            <w:tcW w:w="1413" w:type="dxa"/>
          </w:tcPr>
          <w:p w14:paraId="79EC271E" w14:textId="77777777" w:rsidR="00BA5F36" w:rsidRPr="00E73CF5" w:rsidRDefault="00BA5F36" w:rsidP="00BA5F36">
            <w:pPr>
              <w:rPr>
                <w:rFonts w:ascii="Calibri" w:eastAsia="Times New Roman" w:hAnsi="Calibri" w:cs="Times New Roman"/>
                <w:color w:val="000000"/>
                <w:sz w:val="20"/>
                <w:szCs w:val="20"/>
                <w:lang w:eastAsia="en-NZ"/>
              </w:rPr>
            </w:pPr>
          </w:p>
        </w:tc>
        <w:tc>
          <w:tcPr>
            <w:tcW w:w="1134" w:type="dxa"/>
          </w:tcPr>
          <w:p w14:paraId="73A5B38A" w14:textId="77777777" w:rsidR="00BA5F36" w:rsidRPr="00E73CF5" w:rsidRDefault="00BA5F36" w:rsidP="00BA5F36">
            <w:pPr>
              <w:jc w:val="center"/>
              <w:rPr>
                <w:rFonts w:ascii="Calibri" w:eastAsia="Times New Roman" w:hAnsi="Calibri" w:cs="Times New Roman"/>
                <w:color w:val="000000"/>
                <w:sz w:val="20"/>
                <w:szCs w:val="20"/>
                <w:lang w:eastAsia="en-NZ"/>
              </w:rPr>
            </w:pPr>
            <w:r w:rsidRPr="00E73CF5">
              <w:rPr>
                <w:rFonts w:ascii="Calibri" w:eastAsia="Times New Roman" w:hAnsi="Calibri" w:cs="Times New Roman"/>
                <w:color w:val="000000"/>
                <w:sz w:val="20"/>
                <w:szCs w:val="20"/>
                <w:lang w:eastAsia="en-NZ"/>
              </w:rPr>
              <w:t>Colombia</w:t>
            </w:r>
          </w:p>
          <w:p w14:paraId="36E5A8E6" w14:textId="585149D5" w:rsidR="00BA5F36" w:rsidRPr="00E73CF5" w:rsidRDefault="00BA5F36" w:rsidP="00BA5F36">
            <w:pPr>
              <w:jc w:val="center"/>
              <w:rPr>
                <w:rFonts w:ascii="Calibri" w:eastAsia="Times New Roman" w:hAnsi="Calibri" w:cs="Times New Roman"/>
                <w:color w:val="000000"/>
                <w:sz w:val="20"/>
                <w:szCs w:val="20"/>
                <w:lang w:eastAsia="en-NZ"/>
              </w:rPr>
            </w:pPr>
          </w:p>
        </w:tc>
        <w:tc>
          <w:tcPr>
            <w:tcW w:w="12049" w:type="dxa"/>
            <w:vAlign w:val="bottom"/>
          </w:tcPr>
          <w:p w14:paraId="238D4B76" w14:textId="77777777" w:rsidR="00BA5F36" w:rsidRPr="00E73CF5" w:rsidRDefault="00BA5F36" w:rsidP="00BA5F36">
            <w:pPr>
              <w:rPr>
                <w:rFonts w:ascii="Calibri" w:eastAsia="Times New Roman" w:hAnsi="Calibri" w:cs="Times New Roman"/>
                <w:color w:val="000000"/>
                <w:sz w:val="20"/>
                <w:szCs w:val="20"/>
                <w:lang w:eastAsia="en-NZ"/>
              </w:rPr>
            </w:pPr>
            <w:r w:rsidRPr="00E73CF5">
              <w:rPr>
                <w:rFonts w:ascii="Calibri" w:eastAsia="Times New Roman" w:hAnsi="Calibri" w:cs="Times New Roman"/>
                <w:color w:val="000000"/>
                <w:sz w:val="20"/>
                <w:szCs w:val="20"/>
                <w:lang w:eastAsia="en-NZ"/>
              </w:rPr>
              <w:t xml:space="preserve">11) Increase transparency of royalties’ resources. Universalize the access, visualization and georeferenced consultation of the information regarding the assignments, status of execution, progress of the works associated with execution of resources of all sources of public investment (PGN, SGP and SGR). Develop a model of participation in the cycle of investment projects financed with royalties’ resources, training of citizens to promote the social control of </w:t>
            </w:r>
            <w:proofErr w:type="gramStart"/>
            <w:r w:rsidRPr="00E73CF5">
              <w:rPr>
                <w:rFonts w:ascii="Calibri" w:eastAsia="Times New Roman" w:hAnsi="Calibri" w:cs="Times New Roman"/>
                <w:color w:val="000000"/>
                <w:sz w:val="20"/>
                <w:szCs w:val="20"/>
                <w:lang w:eastAsia="en-NZ"/>
              </w:rPr>
              <w:t>royalties</w:t>
            </w:r>
            <w:proofErr w:type="gramEnd"/>
            <w:r w:rsidRPr="00E73CF5">
              <w:rPr>
                <w:rFonts w:ascii="Calibri" w:eastAsia="Times New Roman" w:hAnsi="Calibri" w:cs="Times New Roman"/>
                <w:color w:val="000000"/>
                <w:sz w:val="20"/>
                <w:szCs w:val="20"/>
                <w:lang w:eastAsia="en-NZ"/>
              </w:rPr>
              <w:t xml:space="preserve"> resources and the realization of visible audits and of citizen audits.</w:t>
            </w:r>
          </w:p>
        </w:tc>
      </w:tr>
      <w:tr w:rsidR="0042315E" w:rsidRPr="00E73CF5" w14:paraId="47E1AEAB" w14:textId="77777777" w:rsidTr="000A5230">
        <w:tc>
          <w:tcPr>
            <w:tcW w:w="1413" w:type="dxa"/>
          </w:tcPr>
          <w:p w14:paraId="15B64088" w14:textId="77777777" w:rsidR="0042315E" w:rsidRPr="00E73CF5" w:rsidRDefault="0042315E" w:rsidP="00BA5F36">
            <w:pPr>
              <w:rPr>
                <w:rFonts w:ascii="Calibri" w:eastAsia="Times New Roman" w:hAnsi="Calibri" w:cs="Times New Roman"/>
                <w:color w:val="000000"/>
                <w:sz w:val="20"/>
                <w:szCs w:val="20"/>
                <w:lang w:eastAsia="en-NZ"/>
              </w:rPr>
            </w:pPr>
          </w:p>
        </w:tc>
        <w:tc>
          <w:tcPr>
            <w:tcW w:w="1134" w:type="dxa"/>
          </w:tcPr>
          <w:p w14:paraId="0BD64E7B" w14:textId="7969427C" w:rsidR="0042315E" w:rsidRPr="00E73CF5" w:rsidRDefault="0042315E" w:rsidP="00BA5F36">
            <w:pPr>
              <w:jc w:val="center"/>
              <w:rPr>
                <w:rFonts w:ascii="Calibri" w:eastAsia="Times New Roman" w:hAnsi="Calibri" w:cs="Times New Roman"/>
                <w:color w:val="000000"/>
                <w:sz w:val="20"/>
                <w:szCs w:val="20"/>
                <w:lang w:eastAsia="en-NZ"/>
              </w:rPr>
            </w:pPr>
            <w:r>
              <w:rPr>
                <w:rFonts w:ascii="Calibri" w:eastAsia="Times New Roman" w:hAnsi="Calibri" w:cs="Times New Roman"/>
                <w:color w:val="000000"/>
                <w:sz w:val="20"/>
                <w:szCs w:val="20"/>
                <w:lang w:eastAsia="en-NZ"/>
              </w:rPr>
              <w:t>Nigeria</w:t>
            </w:r>
          </w:p>
        </w:tc>
        <w:tc>
          <w:tcPr>
            <w:tcW w:w="12049" w:type="dxa"/>
            <w:vAlign w:val="bottom"/>
          </w:tcPr>
          <w:p w14:paraId="37F6AAA4" w14:textId="654627DD" w:rsidR="0042315E" w:rsidRPr="0042315E" w:rsidRDefault="0042315E" w:rsidP="0042315E">
            <w:pPr>
              <w:rPr>
                <w:rFonts w:ascii="Calibri" w:eastAsia="Times New Roman" w:hAnsi="Calibri" w:cs="Times New Roman"/>
                <w:color w:val="000000"/>
                <w:sz w:val="20"/>
                <w:szCs w:val="20"/>
                <w:lang w:eastAsia="en-NZ"/>
              </w:rPr>
            </w:pPr>
            <w:r w:rsidRPr="0042315E">
              <w:rPr>
                <w:rFonts w:ascii="Calibri" w:eastAsia="Times New Roman" w:hAnsi="Calibri" w:cs="Times New Roman"/>
                <w:color w:val="000000"/>
                <w:sz w:val="20"/>
                <w:szCs w:val="20"/>
                <w:lang w:eastAsia="en-NZ"/>
              </w:rPr>
              <w:t>3</w:t>
            </w:r>
            <w:r>
              <w:rPr>
                <w:rFonts w:ascii="Calibri" w:eastAsia="Times New Roman" w:hAnsi="Calibri" w:cs="Times New Roman"/>
                <w:color w:val="000000"/>
                <w:sz w:val="20"/>
                <w:szCs w:val="20"/>
                <w:lang w:eastAsia="en-NZ"/>
              </w:rPr>
              <w:t>)</w:t>
            </w:r>
            <w:r w:rsidRPr="0042315E">
              <w:rPr>
                <w:rFonts w:ascii="Calibri" w:eastAsia="Times New Roman" w:hAnsi="Calibri" w:cs="Times New Roman"/>
                <w:color w:val="000000"/>
                <w:sz w:val="20"/>
                <w:szCs w:val="20"/>
                <w:lang w:eastAsia="en-NZ"/>
              </w:rPr>
              <w:t xml:space="preserve"> Enhance transparency in the extractive sector (Nigeria Extractive Industries Transparency Initiative (NEITI).</w:t>
            </w:r>
          </w:p>
          <w:p w14:paraId="378D6ED5" w14:textId="4F744810" w:rsidR="0042315E" w:rsidRPr="00E73CF5" w:rsidRDefault="0042315E" w:rsidP="0042315E">
            <w:pPr>
              <w:rPr>
                <w:rFonts w:ascii="Calibri" w:eastAsia="Times New Roman" w:hAnsi="Calibri" w:cs="Times New Roman"/>
                <w:color w:val="000000"/>
                <w:sz w:val="20"/>
                <w:szCs w:val="20"/>
                <w:lang w:eastAsia="en-NZ"/>
              </w:rPr>
            </w:pPr>
            <w:r w:rsidRPr="0042315E">
              <w:rPr>
                <w:rFonts w:ascii="Calibri" w:eastAsia="Times New Roman" w:hAnsi="Calibri" w:cs="Times New Roman"/>
                <w:color w:val="000000"/>
                <w:sz w:val="20"/>
                <w:szCs w:val="20"/>
                <w:lang w:eastAsia="en-NZ"/>
              </w:rPr>
              <w:t>Work together with all stakeholders to enhance transparency in the extractive sector through a concrete set of disclosures related to payments by companies and receipts by governments on all transactions across the sector’s value chain.</w:t>
            </w:r>
          </w:p>
        </w:tc>
      </w:tr>
      <w:tr w:rsidR="00BA5F36" w:rsidRPr="00E73CF5" w14:paraId="507DB0F3" w14:textId="77777777" w:rsidTr="000A5230">
        <w:tc>
          <w:tcPr>
            <w:tcW w:w="1413" w:type="dxa"/>
          </w:tcPr>
          <w:p w14:paraId="27015E83" w14:textId="77777777" w:rsidR="00BA5F36" w:rsidRPr="00E73CF5" w:rsidRDefault="00BA5F36" w:rsidP="00BA5F36">
            <w:pPr>
              <w:rPr>
                <w:rFonts w:ascii="Calibri" w:eastAsia="Times New Roman" w:hAnsi="Calibri" w:cs="Times New Roman"/>
                <w:color w:val="000000"/>
                <w:sz w:val="20"/>
                <w:szCs w:val="20"/>
                <w:lang w:eastAsia="en-NZ"/>
              </w:rPr>
            </w:pPr>
          </w:p>
        </w:tc>
        <w:tc>
          <w:tcPr>
            <w:tcW w:w="1134" w:type="dxa"/>
          </w:tcPr>
          <w:p w14:paraId="7A939CEE" w14:textId="418A6664" w:rsidR="00BA5F36" w:rsidRPr="00E73CF5" w:rsidRDefault="00BA5F36" w:rsidP="00BA5F36">
            <w:pPr>
              <w:jc w:val="center"/>
              <w:rPr>
                <w:rFonts w:ascii="Calibri" w:eastAsia="Times New Roman" w:hAnsi="Calibri" w:cs="Times New Roman"/>
                <w:color w:val="000000"/>
                <w:sz w:val="20"/>
                <w:szCs w:val="20"/>
                <w:lang w:eastAsia="en-NZ"/>
              </w:rPr>
            </w:pPr>
            <w:r w:rsidRPr="00E73CF5">
              <w:rPr>
                <w:rFonts w:ascii="Calibri" w:eastAsia="Times New Roman" w:hAnsi="Calibri" w:cs="Times New Roman"/>
                <w:color w:val="000000"/>
                <w:sz w:val="20"/>
                <w:szCs w:val="20"/>
                <w:lang w:eastAsia="en-NZ"/>
              </w:rPr>
              <w:t xml:space="preserve">Philippines </w:t>
            </w:r>
          </w:p>
        </w:tc>
        <w:tc>
          <w:tcPr>
            <w:tcW w:w="12049" w:type="dxa"/>
            <w:vAlign w:val="bottom"/>
          </w:tcPr>
          <w:p w14:paraId="0BF85265" w14:textId="39D71C5A" w:rsidR="00BA5F36" w:rsidRPr="00E73CF5" w:rsidRDefault="00BA5F36" w:rsidP="00BA5F36">
            <w:pPr>
              <w:rPr>
                <w:rFonts w:ascii="Calibri" w:eastAsia="Times New Roman" w:hAnsi="Calibri" w:cs="Times New Roman"/>
                <w:color w:val="000000"/>
                <w:sz w:val="20"/>
                <w:szCs w:val="20"/>
                <w:lang w:eastAsia="en-NZ"/>
              </w:rPr>
            </w:pPr>
            <w:r w:rsidRPr="004C73BA">
              <w:rPr>
                <w:rFonts w:ascii="Calibri" w:eastAsia="Times New Roman" w:hAnsi="Calibri" w:cs="Times New Roman"/>
                <w:color w:val="000000"/>
                <w:sz w:val="20"/>
                <w:szCs w:val="20"/>
                <w:lang w:eastAsia="en-NZ"/>
              </w:rPr>
              <w:t>9</w:t>
            </w:r>
            <w:r>
              <w:rPr>
                <w:rFonts w:ascii="Calibri" w:eastAsia="Times New Roman" w:hAnsi="Calibri" w:cs="Times New Roman"/>
                <w:color w:val="000000"/>
                <w:sz w:val="20"/>
                <w:szCs w:val="20"/>
                <w:lang w:eastAsia="en-NZ"/>
              </w:rPr>
              <w:t>)</w:t>
            </w:r>
            <w:r w:rsidRPr="004C73BA">
              <w:rPr>
                <w:rFonts w:ascii="Calibri" w:eastAsia="Times New Roman" w:hAnsi="Calibri" w:cs="Times New Roman"/>
                <w:color w:val="000000"/>
                <w:sz w:val="20"/>
                <w:szCs w:val="20"/>
                <w:lang w:eastAsia="en-NZ"/>
              </w:rPr>
              <w:t xml:space="preserve"> Philippines Extractive Industries Transparency Initiative (Department of Finance, Department of Budget and Management, Department of Environment and Natural Resources).</w:t>
            </w:r>
            <w:r>
              <w:rPr>
                <w:rFonts w:ascii="Calibri" w:eastAsia="Times New Roman" w:hAnsi="Calibri" w:cs="Times New Roman"/>
                <w:color w:val="000000"/>
                <w:sz w:val="20"/>
                <w:szCs w:val="20"/>
                <w:lang w:eastAsia="en-NZ"/>
              </w:rPr>
              <w:t xml:space="preserve"> </w:t>
            </w:r>
            <w:r w:rsidRPr="004C73BA">
              <w:rPr>
                <w:rFonts w:ascii="Calibri" w:eastAsia="Times New Roman" w:hAnsi="Calibri" w:cs="Times New Roman"/>
                <w:color w:val="000000"/>
                <w:sz w:val="20"/>
                <w:szCs w:val="20"/>
                <w:lang w:eastAsia="en-NZ"/>
              </w:rPr>
              <w:t>By promoting and facilitating the disclosure and publication of material information regarding the extractives industries (specially payments and revenues from the mining, oil and gas, and coal sectors) and providing a platform for multi</w:t>
            </w:r>
            <w:r>
              <w:rPr>
                <w:rFonts w:ascii="Calibri" w:eastAsia="Times New Roman" w:hAnsi="Calibri" w:cs="Times New Roman"/>
                <w:color w:val="000000"/>
                <w:sz w:val="20"/>
                <w:szCs w:val="20"/>
                <w:lang w:eastAsia="en-NZ"/>
              </w:rPr>
              <w:t>-</w:t>
            </w:r>
            <w:r w:rsidRPr="004C73BA">
              <w:rPr>
                <w:rFonts w:ascii="Calibri" w:eastAsia="Times New Roman" w:hAnsi="Calibri" w:cs="Times New Roman"/>
                <w:color w:val="000000"/>
                <w:sz w:val="20"/>
                <w:szCs w:val="20"/>
                <w:lang w:eastAsia="en-NZ"/>
              </w:rPr>
              <w:t>stakeholder participation and dialogue thereon, PH-EITI intends to help ensure that the extraction of the country’s natural resources redound to the benefit and sustainable development of the nation.</w:t>
            </w:r>
          </w:p>
        </w:tc>
      </w:tr>
      <w:tr w:rsidR="00BA5F36" w:rsidRPr="00E73CF5" w14:paraId="2C67597D" w14:textId="77777777" w:rsidTr="000A5230">
        <w:tc>
          <w:tcPr>
            <w:tcW w:w="1413" w:type="dxa"/>
          </w:tcPr>
          <w:p w14:paraId="593E8BBE" w14:textId="77777777" w:rsidR="00BA5F36" w:rsidRPr="00E73CF5" w:rsidRDefault="00BA5F36" w:rsidP="00BA5F36">
            <w:pPr>
              <w:rPr>
                <w:rFonts w:ascii="Calibri" w:eastAsia="Times New Roman" w:hAnsi="Calibri" w:cs="Times New Roman"/>
                <w:color w:val="000000"/>
                <w:sz w:val="20"/>
                <w:szCs w:val="20"/>
                <w:lang w:eastAsia="en-NZ"/>
              </w:rPr>
            </w:pPr>
          </w:p>
        </w:tc>
        <w:tc>
          <w:tcPr>
            <w:tcW w:w="1134" w:type="dxa"/>
          </w:tcPr>
          <w:p w14:paraId="4F83D11D" w14:textId="6955C8FF" w:rsidR="00BA5F36" w:rsidRPr="00E73CF5" w:rsidRDefault="00BA5F36" w:rsidP="00EA7718">
            <w:pPr>
              <w:jc w:val="center"/>
              <w:rPr>
                <w:rFonts w:ascii="Calibri" w:eastAsia="Times New Roman" w:hAnsi="Calibri" w:cs="Times New Roman"/>
                <w:color w:val="000000"/>
                <w:sz w:val="20"/>
                <w:szCs w:val="20"/>
                <w:lang w:eastAsia="en-NZ"/>
              </w:rPr>
            </w:pPr>
            <w:r>
              <w:rPr>
                <w:rFonts w:ascii="Calibri" w:eastAsia="Times New Roman" w:hAnsi="Calibri" w:cs="Times New Roman"/>
                <w:color w:val="000000"/>
                <w:sz w:val="20"/>
                <w:szCs w:val="20"/>
                <w:lang w:eastAsia="en-NZ"/>
              </w:rPr>
              <w:t>Tunisia</w:t>
            </w:r>
          </w:p>
        </w:tc>
        <w:tc>
          <w:tcPr>
            <w:tcW w:w="12049" w:type="dxa"/>
            <w:vAlign w:val="bottom"/>
          </w:tcPr>
          <w:p w14:paraId="0EFA1E41" w14:textId="72EFE004" w:rsidR="00BA5F36" w:rsidRPr="004C73BA" w:rsidRDefault="00BA5F36" w:rsidP="00BA5F36">
            <w:pPr>
              <w:rPr>
                <w:rFonts w:ascii="Calibri" w:eastAsia="Times New Roman" w:hAnsi="Calibri" w:cs="Times New Roman"/>
                <w:color w:val="000000"/>
                <w:sz w:val="20"/>
                <w:szCs w:val="20"/>
                <w:lang w:eastAsia="en-NZ"/>
              </w:rPr>
            </w:pPr>
            <w:r w:rsidRPr="00BA5F36">
              <w:rPr>
                <w:rFonts w:ascii="Calibri" w:eastAsia="Times New Roman" w:hAnsi="Calibri" w:cs="Times New Roman"/>
                <w:color w:val="000000"/>
                <w:sz w:val="20"/>
                <w:szCs w:val="20"/>
                <w:lang w:eastAsia="en-NZ"/>
              </w:rPr>
              <w:t>1) Join the EITI (Ministry of Energy and Mines)</w:t>
            </w:r>
          </w:p>
        </w:tc>
      </w:tr>
      <w:tr w:rsidR="000A5230" w:rsidRPr="00E73CF5" w14:paraId="7280CB50" w14:textId="77777777" w:rsidTr="000A5230">
        <w:tc>
          <w:tcPr>
            <w:tcW w:w="1413" w:type="dxa"/>
          </w:tcPr>
          <w:p w14:paraId="3E49D1C7" w14:textId="77777777" w:rsidR="000A5230" w:rsidRPr="00E73CF5" w:rsidRDefault="000A5230" w:rsidP="00BA5F36">
            <w:pPr>
              <w:rPr>
                <w:rFonts w:ascii="Calibri" w:eastAsia="Times New Roman" w:hAnsi="Calibri" w:cs="Times New Roman"/>
                <w:color w:val="000000"/>
                <w:sz w:val="20"/>
                <w:szCs w:val="20"/>
                <w:lang w:eastAsia="en-NZ"/>
              </w:rPr>
            </w:pPr>
          </w:p>
        </w:tc>
        <w:tc>
          <w:tcPr>
            <w:tcW w:w="1134" w:type="dxa"/>
          </w:tcPr>
          <w:p w14:paraId="31019324" w14:textId="5CFA1C85" w:rsidR="000A5230" w:rsidRDefault="000A5230" w:rsidP="000A5230">
            <w:pPr>
              <w:rPr>
                <w:rFonts w:ascii="Calibri" w:eastAsia="Times New Roman" w:hAnsi="Calibri" w:cs="Times New Roman"/>
                <w:color w:val="000000"/>
                <w:sz w:val="20"/>
                <w:szCs w:val="20"/>
                <w:lang w:eastAsia="en-NZ"/>
              </w:rPr>
            </w:pPr>
            <w:r>
              <w:rPr>
                <w:rFonts w:ascii="Calibri" w:eastAsia="Times New Roman" w:hAnsi="Calibri" w:cs="Times New Roman"/>
                <w:color w:val="000000"/>
                <w:sz w:val="20"/>
                <w:szCs w:val="20"/>
                <w:lang w:eastAsia="en-NZ"/>
              </w:rPr>
              <w:t>Ukraine</w:t>
            </w:r>
          </w:p>
        </w:tc>
        <w:tc>
          <w:tcPr>
            <w:tcW w:w="12049" w:type="dxa"/>
            <w:vAlign w:val="bottom"/>
          </w:tcPr>
          <w:p w14:paraId="2476895F" w14:textId="4C7560E2" w:rsidR="000A5230" w:rsidRPr="00BA5F36" w:rsidRDefault="000A5230" w:rsidP="000A5230">
            <w:pPr>
              <w:spacing w:after="160" w:line="259" w:lineRule="auto"/>
              <w:rPr>
                <w:rFonts w:ascii="Calibri" w:eastAsia="Times New Roman" w:hAnsi="Calibri" w:cs="Times New Roman"/>
                <w:color w:val="000000"/>
                <w:sz w:val="20"/>
                <w:szCs w:val="20"/>
                <w:lang w:eastAsia="en-NZ"/>
              </w:rPr>
            </w:pPr>
            <w:r w:rsidRPr="000A5230">
              <w:rPr>
                <w:rFonts w:ascii="Calibri" w:eastAsia="Times New Roman" w:hAnsi="Calibri" w:cs="Times New Roman"/>
                <w:color w:val="000000"/>
                <w:sz w:val="20"/>
                <w:szCs w:val="20"/>
                <w:lang w:eastAsia="en-NZ"/>
              </w:rPr>
              <w:t>9</w:t>
            </w:r>
            <w:r>
              <w:rPr>
                <w:rFonts w:ascii="Calibri" w:eastAsia="Times New Roman" w:hAnsi="Calibri" w:cs="Times New Roman"/>
                <w:color w:val="000000"/>
                <w:sz w:val="20"/>
                <w:szCs w:val="20"/>
                <w:lang w:eastAsia="en-NZ"/>
              </w:rPr>
              <w:t>)</w:t>
            </w:r>
            <w:r w:rsidRPr="000A5230">
              <w:rPr>
                <w:rFonts w:ascii="Calibri" w:eastAsia="Times New Roman" w:hAnsi="Calibri" w:cs="Times New Roman"/>
                <w:color w:val="000000"/>
                <w:sz w:val="20"/>
                <w:szCs w:val="20"/>
                <w:lang w:eastAsia="en-NZ"/>
              </w:rPr>
              <w:t xml:space="preserve"> Implementation of the Extractive Industries Transparency Initiative.</w:t>
            </w:r>
          </w:p>
        </w:tc>
      </w:tr>
      <w:tr w:rsidR="00BA5F36" w:rsidRPr="00E73CF5" w14:paraId="46B6981E" w14:textId="77777777" w:rsidTr="000A5230">
        <w:tc>
          <w:tcPr>
            <w:tcW w:w="1413" w:type="dxa"/>
          </w:tcPr>
          <w:p w14:paraId="00FA4654" w14:textId="77777777" w:rsidR="00BA5F36" w:rsidRPr="00E73CF5" w:rsidRDefault="00BA5F36" w:rsidP="00BA5F36">
            <w:pPr>
              <w:rPr>
                <w:rFonts w:ascii="Calibri" w:eastAsia="Times New Roman" w:hAnsi="Calibri" w:cs="Times New Roman"/>
                <w:b/>
                <w:color w:val="000000"/>
                <w:sz w:val="20"/>
                <w:szCs w:val="20"/>
                <w:lang w:eastAsia="en-NZ"/>
              </w:rPr>
            </w:pPr>
          </w:p>
        </w:tc>
        <w:tc>
          <w:tcPr>
            <w:tcW w:w="1134" w:type="dxa"/>
          </w:tcPr>
          <w:p w14:paraId="77FA21DC" w14:textId="30B8865F" w:rsidR="00BA5F36" w:rsidRPr="00E73CF5" w:rsidRDefault="00BA5F36" w:rsidP="00EA7718">
            <w:pPr>
              <w:jc w:val="center"/>
              <w:rPr>
                <w:rFonts w:ascii="Calibri" w:eastAsia="Times New Roman" w:hAnsi="Calibri" w:cs="Times New Roman"/>
                <w:color w:val="000000"/>
                <w:sz w:val="20"/>
                <w:szCs w:val="20"/>
                <w:lang w:eastAsia="en-NZ"/>
              </w:rPr>
            </w:pPr>
            <w:r w:rsidRPr="00E73CF5">
              <w:rPr>
                <w:rFonts w:ascii="Calibri" w:eastAsia="Times New Roman" w:hAnsi="Calibri" w:cs="Times New Roman"/>
                <w:color w:val="000000"/>
                <w:sz w:val="20"/>
                <w:szCs w:val="20"/>
                <w:lang w:eastAsia="en-NZ"/>
              </w:rPr>
              <w:t>U</w:t>
            </w:r>
            <w:r w:rsidR="00EA7718">
              <w:rPr>
                <w:rFonts w:ascii="Calibri" w:eastAsia="Times New Roman" w:hAnsi="Calibri" w:cs="Times New Roman"/>
                <w:color w:val="000000"/>
                <w:sz w:val="20"/>
                <w:szCs w:val="20"/>
                <w:lang w:eastAsia="en-NZ"/>
              </w:rPr>
              <w:t>K</w:t>
            </w:r>
          </w:p>
        </w:tc>
        <w:tc>
          <w:tcPr>
            <w:tcW w:w="12049" w:type="dxa"/>
            <w:vAlign w:val="bottom"/>
          </w:tcPr>
          <w:p w14:paraId="51F1DCF6" w14:textId="3207A88E" w:rsidR="00BA5F36" w:rsidRPr="00EA7718" w:rsidRDefault="00BA5F36" w:rsidP="00BA5F36">
            <w:r w:rsidRPr="00CF416A">
              <w:rPr>
                <w:rFonts w:ascii="Calibri" w:eastAsia="Times New Roman" w:hAnsi="Calibri" w:cs="Times New Roman"/>
                <w:color w:val="000000"/>
                <w:sz w:val="20"/>
                <w:szCs w:val="20"/>
                <w:lang w:eastAsia="en-NZ"/>
              </w:rPr>
              <w:t>51</w:t>
            </w:r>
            <w:r w:rsidR="00110B58">
              <w:rPr>
                <w:rFonts w:ascii="Calibri" w:eastAsia="Times New Roman" w:hAnsi="Calibri" w:cs="Times New Roman"/>
                <w:color w:val="000000"/>
                <w:sz w:val="20"/>
                <w:szCs w:val="20"/>
                <w:lang w:eastAsia="en-NZ"/>
              </w:rPr>
              <w:t>)</w:t>
            </w:r>
            <w:r w:rsidRPr="00CF416A">
              <w:rPr>
                <w:rFonts w:ascii="Calibri" w:eastAsia="Times New Roman" w:hAnsi="Calibri" w:cs="Times New Roman"/>
                <w:color w:val="000000"/>
                <w:sz w:val="20"/>
                <w:szCs w:val="20"/>
                <w:lang w:eastAsia="en-NZ"/>
              </w:rPr>
              <w:t xml:space="preserve"> Support Capacity Building for Extractives Transparency</w:t>
            </w:r>
            <w:r>
              <w:t>.</w:t>
            </w:r>
          </w:p>
        </w:tc>
      </w:tr>
      <w:tr w:rsidR="00BA5F36" w:rsidRPr="00E73CF5" w14:paraId="7C334AFD" w14:textId="77777777" w:rsidTr="000A5230">
        <w:trPr>
          <w:trHeight w:val="508"/>
        </w:trPr>
        <w:tc>
          <w:tcPr>
            <w:tcW w:w="1413" w:type="dxa"/>
          </w:tcPr>
          <w:p w14:paraId="65F68D10" w14:textId="77777777" w:rsidR="00BA5F36" w:rsidRPr="00E73CF5" w:rsidRDefault="00BA5F36" w:rsidP="00BA5F36">
            <w:pPr>
              <w:rPr>
                <w:b/>
                <w:sz w:val="20"/>
                <w:szCs w:val="20"/>
              </w:rPr>
            </w:pPr>
            <w:r w:rsidRPr="00E73CF5">
              <w:rPr>
                <w:b/>
                <w:sz w:val="20"/>
                <w:szCs w:val="20"/>
              </w:rPr>
              <w:t xml:space="preserve">HLP 3: </w:t>
            </w:r>
          </w:p>
          <w:p w14:paraId="3E8E9AAB" w14:textId="77777777" w:rsidR="00BA5F36" w:rsidRPr="00E73CF5" w:rsidRDefault="00BA5F36" w:rsidP="00BA5F36">
            <w:pPr>
              <w:rPr>
                <w:b/>
                <w:sz w:val="20"/>
                <w:szCs w:val="20"/>
              </w:rPr>
            </w:pPr>
            <w:r w:rsidRPr="00E73CF5">
              <w:rPr>
                <w:b/>
                <w:sz w:val="20"/>
                <w:szCs w:val="20"/>
              </w:rPr>
              <w:t>e. External financing</w:t>
            </w:r>
          </w:p>
        </w:tc>
        <w:tc>
          <w:tcPr>
            <w:tcW w:w="1134" w:type="dxa"/>
          </w:tcPr>
          <w:p w14:paraId="7FD0759F" w14:textId="77777777" w:rsidR="00BA5F36" w:rsidRPr="00E73CF5" w:rsidRDefault="00BA5F36" w:rsidP="00BA5F36">
            <w:pPr>
              <w:jc w:val="center"/>
              <w:rPr>
                <w:sz w:val="20"/>
                <w:szCs w:val="20"/>
              </w:rPr>
            </w:pPr>
          </w:p>
        </w:tc>
        <w:tc>
          <w:tcPr>
            <w:tcW w:w="12049" w:type="dxa"/>
          </w:tcPr>
          <w:p w14:paraId="7B3D5D5A" w14:textId="77777777" w:rsidR="00BA5F36" w:rsidRPr="00E73CF5" w:rsidRDefault="00BA5F36" w:rsidP="00BA5F36">
            <w:pPr>
              <w:rPr>
                <w:sz w:val="20"/>
                <w:szCs w:val="20"/>
              </w:rPr>
            </w:pPr>
          </w:p>
        </w:tc>
      </w:tr>
      <w:tr w:rsidR="00BA5F36" w:rsidRPr="00E73CF5" w14:paraId="408B5EA6" w14:textId="77777777" w:rsidTr="000A5230">
        <w:tc>
          <w:tcPr>
            <w:tcW w:w="1413" w:type="dxa"/>
          </w:tcPr>
          <w:p w14:paraId="2D938025" w14:textId="77777777" w:rsidR="00BA5F36" w:rsidRPr="00E73CF5" w:rsidRDefault="00BA5F36" w:rsidP="00BA5F36">
            <w:pPr>
              <w:rPr>
                <w:sz w:val="20"/>
                <w:szCs w:val="20"/>
              </w:rPr>
            </w:pPr>
          </w:p>
        </w:tc>
        <w:tc>
          <w:tcPr>
            <w:tcW w:w="1134" w:type="dxa"/>
          </w:tcPr>
          <w:p w14:paraId="51D8E907" w14:textId="67F3EDEE" w:rsidR="00BA5F36" w:rsidRPr="00E73CF5" w:rsidRDefault="00BA5F36" w:rsidP="00EA7718">
            <w:pPr>
              <w:jc w:val="center"/>
              <w:rPr>
                <w:sz w:val="20"/>
                <w:szCs w:val="20"/>
              </w:rPr>
            </w:pPr>
            <w:r w:rsidRPr="00E73CF5">
              <w:rPr>
                <w:sz w:val="20"/>
                <w:szCs w:val="20"/>
              </w:rPr>
              <w:t>USA</w:t>
            </w:r>
          </w:p>
        </w:tc>
        <w:tc>
          <w:tcPr>
            <w:tcW w:w="12049" w:type="dxa"/>
          </w:tcPr>
          <w:p w14:paraId="09709EDE" w14:textId="77777777" w:rsidR="00BA5F36" w:rsidRPr="00E73CF5" w:rsidRDefault="00BA5F36" w:rsidP="00BA5F36">
            <w:pPr>
              <w:rPr>
                <w:sz w:val="20"/>
                <w:szCs w:val="20"/>
              </w:rPr>
            </w:pPr>
            <w:r w:rsidRPr="00E73CF5">
              <w:rPr>
                <w:sz w:val="20"/>
                <w:szCs w:val="20"/>
              </w:rPr>
              <w:t xml:space="preserve">33) Improve the quality and enhance the use of U.S. foreign assistance information on ForeignAssistance.gov </w:t>
            </w:r>
          </w:p>
        </w:tc>
      </w:tr>
      <w:tr w:rsidR="00BA5F36" w:rsidRPr="00E73CF5" w14:paraId="0C0D6CFA" w14:textId="77777777" w:rsidTr="000A5230">
        <w:tc>
          <w:tcPr>
            <w:tcW w:w="1413" w:type="dxa"/>
          </w:tcPr>
          <w:p w14:paraId="3DBAE264" w14:textId="77777777" w:rsidR="00BA5F36" w:rsidRPr="00E73CF5" w:rsidRDefault="00BA5F36" w:rsidP="00BA5F36">
            <w:pPr>
              <w:rPr>
                <w:rFonts w:ascii="Calibri" w:eastAsia="Times New Roman" w:hAnsi="Calibri" w:cs="Times New Roman"/>
                <w:b/>
                <w:color w:val="000000"/>
                <w:sz w:val="20"/>
                <w:szCs w:val="20"/>
                <w:lang w:eastAsia="en-NZ"/>
              </w:rPr>
            </w:pPr>
            <w:r w:rsidRPr="00E73CF5">
              <w:rPr>
                <w:rFonts w:ascii="Calibri" w:eastAsia="Times New Roman" w:hAnsi="Calibri" w:cs="Times New Roman"/>
                <w:b/>
                <w:color w:val="000000"/>
                <w:sz w:val="20"/>
                <w:szCs w:val="20"/>
                <w:lang w:eastAsia="en-NZ"/>
              </w:rPr>
              <w:t>HLP 3:</w:t>
            </w:r>
          </w:p>
          <w:p w14:paraId="458BF93C" w14:textId="77777777" w:rsidR="00BA5F36" w:rsidRPr="00E73CF5" w:rsidRDefault="00BA5F36" w:rsidP="00BA5F36">
            <w:pPr>
              <w:rPr>
                <w:rFonts w:ascii="Calibri" w:eastAsia="Times New Roman" w:hAnsi="Calibri" w:cs="Times New Roman"/>
                <w:color w:val="000000"/>
                <w:sz w:val="20"/>
                <w:szCs w:val="20"/>
                <w:lang w:eastAsia="en-NZ"/>
              </w:rPr>
            </w:pPr>
            <w:r w:rsidRPr="00E73CF5">
              <w:rPr>
                <w:rFonts w:ascii="Calibri" w:eastAsia="Times New Roman" w:hAnsi="Calibri" w:cs="Times New Roman"/>
                <w:b/>
                <w:color w:val="000000"/>
                <w:sz w:val="20"/>
                <w:szCs w:val="20"/>
                <w:lang w:eastAsia="en-NZ"/>
              </w:rPr>
              <w:t>f. Public Investment Management</w:t>
            </w:r>
          </w:p>
        </w:tc>
        <w:tc>
          <w:tcPr>
            <w:tcW w:w="1134" w:type="dxa"/>
          </w:tcPr>
          <w:p w14:paraId="25E543A5" w14:textId="77777777" w:rsidR="00BA5F36" w:rsidRPr="00E73CF5" w:rsidRDefault="00BA5F36" w:rsidP="00BA5F36">
            <w:pPr>
              <w:jc w:val="center"/>
              <w:rPr>
                <w:rFonts w:ascii="Calibri" w:eastAsia="Times New Roman" w:hAnsi="Calibri" w:cs="Times New Roman"/>
                <w:color w:val="000000"/>
                <w:sz w:val="20"/>
                <w:szCs w:val="20"/>
                <w:lang w:eastAsia="en-NZ"/>
              </w:rPr>
            </w:pPr>
          </w:p>
        </w:tc>
        <w:tc>
          <w:tcPr>
            <w:tcW w:w="12049" w:type="dxa"/>
            <w:vAlign w:val="bottom"/>
          </w:tcPr>
          <w:p w14:paraId="6760EA67" w14:textId="77777777" w:rsidR="00BA5F36" w:rsidRPr="00E73CF5" w:rsidRDefault="00BA5F36" w:rsidP="00BA5F36">
            <w:pPr>
              <w:rPr>
                <w:rFonts w:ascii="Calibri" w:eastAsia="Times New Roman" w:hAnsi="Calibri" w:cs="Times New Roman"/>
                <w:color w:val="000000"/>
                <w:sz w:val="20"/>
                <w:szCs w:val="20"/>
                <w:lang w:eastAsia="en-NZ"/>
              </w:rPr>
            </w:pPr>
          </w:p>
        </w:tc>
      </w:tr>
      <w:tr w:rsidR="00BA5F36" w:rsidRPr="00E73CF5" w14:paraId="63D31EE5" w14:textId="77777777" w:rsidTr="000A5230">
        <w:tc>
          <w:tcPr>
            <w:tcW w:w="1413" w:type="dxa"/>
          </w:tcPr>
          <w:p w14:paraId="7A1A7A73" w14:textId="77777777" w:rsidR="00BA5F36" w:rsidRPr="00E73CF5" w:rsidRDefault="00BA5F36" w:rsidP="00BA5F36">
            <w:pPr>
              <w:rPr>
                <w:rFonts w:ascii="Calibri" w:eastAsia="Times New Roman" w:hAnsi="Calibri" w:cs="Times New Roman"/>
                <w:color w:val="000000"/>
                <w:sz w:val="20"/>
                <w:szCs w:val="20"/>
                <w:lang w:eastAsia="en-NZ"/>
              </w:rPr>
            </w:pPr>
          </w:p>
        </w:tc>
        <w:tc>
          <w:tcPr>
            <w:tcW w:w="1134" w:type="dxa"/>
          </w:tcPr>
          <w:p w14:paraId="64D8807E" w14:textId="77777777" w:rsidR="00BA5F36" w:rsidRPr="00E73CF5" w:rsidRDefault="00BA5F36" w:rsidP="00BA5F36">
            <w:pPr>
              <w:jc w:val="center"/>
              <w:rPr>
                <w:rFonts w:ascii="Calibri" w:eastAsia="Times New Roman" w:hAnsi="Calibri" w:cs="Times New Roman"/>
                <w:color w:val="000000"/>
                <w:sz w:val="20"/>
                <w:szCs w:val="20"/>
                <w:lang w:eastAsia="en-NZ"/>
              </w:rPr>
            </w:pPr>
            <w:r w:rsidRPr="00E73CF5">
              <w:rPr>
                <w:rFonts w:ascii="Calibri" w:eastAsia="Times New Roman" w:hAnsi="Calibri" w:cs="Times New Roman"/>
                <w:color w:val="000000"/>
                <w:sz w:val="20"/>
                <w:szCs w:val="20"/>
                <w:lang w:eastAsia="en-NZ"/>
              </w:rPr>
              <w:t>Colombia</w:t>
            </w:r>
          </w:p>
          <w:p w14:paraId="60C63F35" w14:textId="076C7991" w:rsidR="00BA5F36" w:rsidRPr="00E73CF5" w:rsidRDefault="00BA5F36" w:rsidP="00BA5F36">
            <w:pPr>
              <w:jc w:val="center"/>
              <w:rPr>
                <w:rFonts w:ascii="Calibri" w:eastAsia="Times New Roman" w:hAnsi="Calibri" w:cs="Times New Roman"/>
                <w:color w:val="000000"/>
                <w:sz w:val="20"/>
                <w:szCs w:val="20"/>
                <w:lang w:eastAsia="en-NZ"/>
              </w:rPr>
            </w:pPr>
          </w:p>
        </w:tc>
        <w:tc>
          <w:tcPr>
            <w:tcW w:w="12049" w:type="dxa"/>
            <w:vAlign w:val="bottom"/>
          </w:tcPr>
          <w:p w14:paraId="3073C180" w14:textId="77777777" w:rsidR="00BA5F36" w:rsidRPr="00E73CF5" w:rsidRDefault="00BA5F36" w:rsidP="00BA5F36">
            <w:pPr>
              <w:rPr>
                <w:rFonts w:ascii="Calibri" w:eastAsia="Times New Roman" w:hAnsi="Calibri" w:cs="Times New Roman"/>
                <w:color w:val="000000"/>
                <w:sz w:val="20"/>
                <w:szCs w:val="20"/>
                <w:lang w:eastAsia="en-NZ"/>
              </w:rPr>
            </w:pPr>
            <w:r w:rsidRPr="00E73CF5">
              <w:rPr>
                <w:rFonts w:ascii="Calibri" w:eastAsia="Times New Roman" w:hAnsi="Calibri" w:cs="Times New Roman"/>
                <w:color w:val="000000"/>
                <w:sz w:val="20"/>
                <w:szCs w:val="20"/>
                <w:lang w:eastAsia="en-NZ"/>
              </w:rPr>
              <w:t>11) Universalize the access, visualization and georeferenced consultation of the information regarding the assignments, status of execution, progress of the works and other relevant information associated to the execution of resources of all sources of public investment (PGN, SGP and SGR).</w:t>
            </w:r>
          </w:p>
        </w:tc>
      </w:tr>
      <w:tr w:rsidR="00BA5F36" w:rsidRPr="00E73CF5" w14:paraId="7D08F0AA" w14:textId="77777777" w:rsidTr="000A5230">
        <w:tc>
          <w:tcPr>
            <w:tcW w:w="1413" w:type="dxa"/>
          </w:tcPr>
          <w:p w14:paraId="35551766" w14:textId="77777777" w:rsidR="00BA5F36" w:rsidRPr="00E73CF5" w:rsidRDefault="00BA5F36" w:rsidP="00BA5F36">
            <w:pPr>
              <w:rPr>
                <w:rFonts w:ascii="Calibri" w:eastAsia="Times New Roman" w:hAnsi="Calibri" w:cs="Times New Roman"/>
                <w:color w:val="000000"/>
                <w:sz w:val="20"/>
                <w:szCs w:val="20"/>
                <w:lang w:eastAsia="en-NZ"/>
              </w:rPr>
            </w:pPr>
          </w:p>
        </w:tc>
        <w:tc>
          <w:tcPr>
            <w:tcW w:w="1134" w:type="dxa"/>
          </w:tcPr>
          <w:p w14:paraId="1C6F8696" w14:textId="77777777" w:rsidR="00BA5F36" w:rsidRPr="00E73CF5" w:rsidRDefault="00BA5F36" w:rsidP="00BA5F36">
            <w:pPr>
              <w:jc w:val="center"/>
              <w:rPr>
                <w:rFonts w:ascii="Calibri" w:eastAsia="Times New Roman" w:hAnsi="Calibri" w:cs="Times New Roman"/>
                <w:color w:val="000000"/>
                <w:sz w:val="20"/>
                <w:szCs w:val="20"/>
                <w:lang w:eastAsia="en-NZ"/>
              </w:rPr>
            </w:pPr>
            <w:r w:rsidRPr="00E73CF5">
              <w:rPr>
                <w:rFonts w:ascii="Calibri" w:eastAsia="Times New Roman" w:hAnsi="Calibri" w:cs="Times New Roman"/>
                <w:color w:val="000000"/>
                <w:sz w:val="20"/>
                <w:szCs w:val="20"/>
                <w:lang w:eastAsia="en-NZ"/>
              </w:rPr>
              <w:t>Colombia</w:t>
            </w:r>
          </w:p>
          <w:p w14:paraId="7D8AFCDC" w14:textId="678051FE" w:rsidR="00BA5F36" w:rsidRPr="00E73CF5" w:rsidRDefault="00BA5F36" w:rsidP="00BA5F36">
            <w:pPr>
              <w:jc w:val="center"/>
              <w:rPr>
                <w:rFonts w:ascii="Calibri" w:eastAsia="Times New Roman" w:hAnsi="Calibri" w:cs="Times New Roman"/>
                <w:color w:val="000000"/>
                <w:sz w:val="20"/>
                <w:szCs w:val="20"/>
                <w:lang w:eastAsia="en-NZ"/>
              </w:rPr>
            </w:pPr>
          </w:p>
        </w:tc>
        <w:tc>
          <w:tcPr>
            <w:tcW w:w="12049" w:type="dxa"/>
            <w:vAlign w:val="bottom"/>
          </w:tcPr>
          <w:p w14:paraId="581371FE" w14:textId="77777777" w:rsidR="00BA5F36" w:rsidRPr="00E73CF5" w:rsidRDefault="00BA5F36" w:rsidP="00BA5F36">
            <w:pPr>
              <w:rPr>
                <w:rFonts w:ascii="Calibri" w:eastAsia="Times New Roman" w:hAnsi="Calibri" w:cs="Times New Roman"/>
                <w:color w:val="000000"/>
                <w:sz w:val="20"/>
                <w:szCs w:val="20"/>
                <w:lang w:eastAsia="en-NZ"/>
              </w:rPr>
            </w:pPr>
            <w:r w:rsidRPr="00E73CF5">
              <w:rPr>
                <w:rFonts w:ascii="Calibri" w:eastAsia="Times New Roman" w:hAnsi="Calibri" w:cs="Times New Roman"/>
                <w:color w:val="000000"/>
                <w:sz w:val="20"/>
                <w:szCs w:val="20"/>
                <w:lang w:eastAsia="en-NZ"/>
              </w:rPr>
              <w:t xml:space="preserve">13) Social Map will be strengthened, a virtual platform providing georeferenced information on supply and demand of social projects in the country: mapping of private sector projects, public sector projects, Public Private Partnerships, social needs, and good practices of social investment. </w:t>
            </w:r>
          </w:p>
        </w:tc>
      </w:tr>
      <w:tr w:rsidR="00BA5F36" w:rsidRPr="00E73CF5" w14:paraId="6B6084F3" w14:textId="77777777" w:rsidTr="000A5230">
        <w:tc>
          <w:tcPr>
            <w:tcW w:w="1413" w:type="dxa"/>
          </w:tcPr>
          <w:p w14:paraId="347D8CE6" w14:textId="77777777" w:rsidR="00BA5F36" w:rsidRPr="00E73CF5" w:rsidRDefault="00BA5F36" w:rsidP="00BA5F36">
            <w:pPr>
              <w:rPr>
                <w:rFonts w:ascii="Calibri" w:eastAsia="Times New Roman" w:hAnsi="Calibri" w:cs="Times New Roman"/>
                <w:color w:val="000000"/>
                <w:sz w:val="20"/>
                <w:szCs w:val="20"/>
                <w:lang w:eastAsia="en-NZ"/>
              </w:rPr>
            </w:pPr>
          </w:p>
        </w:tc>
        <w:tc>
          <w:tcPr>
            <w:tcW w:w="1134" w:type="dxa"/>
          </w:tcPr>
          <w:p w14:paraId="4F932CCB" w14:textId="77777777" w:rsidR="00BA5F36" w:rsidRPr="00E73CF5" w:rsidRDefault="00BA5F36" w:rsidP="00BA5F36">
            <w:pPr>
              <w:jc w:val="center"/>
              <w:rPr>
                <w:sz w:val="20"/>
                <w:szCs w:val="20"/>
              </w:rPr>
            </w:pPr>
            <w:r w:rsidRPr="00E73CF5">
              <w:rPr>
                <w:sz w:val="20"/>
                <w:szCs w:val="20"/>
              </w:rPr>
              <w:t>Mexico</w:t>
            </w:r>
          </w:p>
          <w:p w14:paraId="5C2A4E65" w14:textId="40D65E75" w:rsidR="00BA5F36" w:rsidRPr="00E73CF5" w:rsidRDefault="00BA5F36" w:rsidP="00BA5F36">
            <w:pPr>
              <w:jc w:val="center"/>
              <w:rPr>
                <w:sz w:val="20"/>
                <w:szCs w:val="20"/>
              </w:rPr>
            </w:pPr>
          </w:p>
        </w:tc>
        <w:tc>
          <w:tcPr>
            <w:tcW w:w="12049" w:type="dxa"/>
          </w:tcPr>
          <w:p w14:paraId="5E0E730C" w14:textId="77777777" w:rsidR="00BA5F36" w:rsidRPr="00E73CF5" w:rsidRDefault="00BA5F36" w:rsidP="00BA5F36">
            <w:pPr>
              <w:rPr>
                <w:sz w:val="20"/>
                <w:szCs w:val="20"/>
              </w:rPr>
            </w:pPr>
            <w:r w:rsidRPr="00E73CF5">
              <w:rPr>
                <w:sz w:val="20"/>
                <w:szCs w:val="20"/>
              </w:rPr>
              <w:t>7) Publish accessible information to reduce the vulnerability and risks associated with the effects of climate change (atlas of risk SEGOB, atlases of vulnerability of the INECC, projects registered in the National Infrastructure Program, environmental change assessments, land use change permits, etc.), through the Inter-sectoral Commission on Climate Change.</w:t>
            </w:r>
          </w:p>
        </w:tc>
      </w:tr>
      <w:tr w:rsidR="00BA5F36" w:rsidRPr="00E73CF5" w14:paraId="59B014A7" w14:textId="77777777" w:rsidTr="000A5230">
        <w:tc>
          <w:tcPr>
            <w:tcW w:w="1413" w:type="dxa"/>
          </w:tcPr>
          <w:p w14:paraId="70D94633" w14:textId="77777777" w:rsidR="00BA5F36" w:rsidRPr="00E73CF5" w:rsidRDefault="00BA5F36" w:rsidP="00BA5F36">
            <w:pPr>
              <w:rPr>
                <w:rFonts w:ascii="Calibri" w:eastAsia="Times New Roman" w:hAnsi="Calibri" w:cs="Times New Roman"/>
                <w:color w:val="000000"/>
                <w:sz w:val="20"/>
                <w:szCs w:val="20"/>
                <w:lang w:eastAsia="en-NZ"/>
              </w:rPr>
            </w:pPr>
          </w:p>
        </w:tc>
        <w:tc>
          <w:tcPr>
            <w:tcW w:w="1134" w:type="dxa"/>
          </w:tcPr>
          <w:p w14:paraId="3EEA65D2" w14:textId="3A54FC09" w:rsidR="00BA5F36" w:rsidRPr="00EA7718" w:rsidRDefault="00BA5F36" w:rsidP="00EA7718">
            <w:pPr>
              <w:jc w:val="center"/>
              <w:rPr>
                <w:sz w:val="20"/>
                <w:szCs w:val="20"/>
              </w:rPr>
            </w:pPr>
            <w:r w:rsidRPr="00E73CF5">
              <w:rPr>
                <w:sz w:val="20"/>
                <w:szCs w:val="20"/>
              </w:rPr>
              <w:t xml:space="preserve">Paraguay </w:t>
            </w:r>
          </w:p>
        </w:tc>
        <w:tc>
          <w:tcPr>
            <w:tcW w:w="12049" w:type="dxa"/>
          </w:tcPr>
          <w:p w14:paraId="4150F411" w14:textId="77777777" w:rsidR="00BA5F36" w:rsidRPr="00E73CF5" w:rsidRDefault="00BA5F36" w:rsidP="00BA5F36">
            <w:pPr>
              <w:rPr>
                <w:rFonts w:ascii="Calibri" w:eastAsia="Times New Roman" w:hAnsi="Calibri" w:cs="Times New Roman"/>
                <w:color w:val="000000"/>
                <w:sz w:val="20"/>
                <w:szCs w:val="20"/>
                <w:lang w:eastAsia="en-NZ"/>
              </w:rPr>
            </w:pPr>
            <w:r w:rsidRPr="00E73CF5">
              <w:rPr>
                <w:sz w:val="20"/>
                <w:szCs w:val="20"/>
              </w:rPr>
              <w:t>3) Create new systems of social monitoring of public works, complaints about services and complaints.</w:t>
            </w:r>
          </w:p>
        </w:tc>
      </w:tr>
      <w:tr w:rsidR="00BA5F36" w:rsidRPr="00E73CF5" w14:paraId="2827072A" w14:textId="77777777" w:rsidTr="000A5230">
        <w:tc>
          <w:tcPr>
            <w:tcW w:w="1413" w:type="dxa"/>
          </w:tcPr>
          <w:p w14:paraId="53153AC3" w14:textId="77777777" w:rsidR="00BA5F36" w:rsidRPr="00E73CF5" w:rsidRDefault="00BA5F36" w:rsidP="00BA5F36">
            <w:pPr>
              <w:rPr>
                <w:rFonts w:ascii="Calibri" w:eastAsia="Times New Roman" w:hAnsi="Calibri" w:cs="Times New Roman"/>
                <w:color w:val="000000"/>
                <w:sz w:val="20"/>
                <w:szCs w:val="20"/>
                <w:lang w:eastAsia="en-NZ"/>
              </w:rPr>
            </w:pPr>
          </w:p>
        </w:tc>
        <w:tc>
          <w:tcPr>
            <w:tcW w:w="1134" w:type="dxa"/>
          </w:tcPr>
          <w:p w14:paraId="707C1A7C" w14:textId="77777777" w:rsidR="00BA5F36" w:rsidRPr="00E73CF5" w:rsidRDefault="00BA5F36" w:rsidP="00BA5F36">
            <w:pPr>
              <w:jc w:val="center"/>
              <w:rPr>
                <w:sz w:val="20"/>
                <w:szCs w:val="20"/>
              </w:rPr>
            </w:pPr>
            <w:r w:rsidRPr="00E73CF5">
              <w:rPr>
                <w:sz w:val="20"/>
                <w:szCs w:val="20"/>
              </w:rPr>
              <w:t>Uruguay</w:t>
            </w:r>
          </w:p>
          <w:p w14:paraId="64110A78" w14:textId="4306E4EE" w:rsidR="00BA5F36" w:rsidRPr="00E73CF5" w:rsidRDefault="00BA5F36" w:rsidP="00BA5F36">
            <w:pPr>
              <w:jc w:val="center"/>
              <w:rPr>
                <w:sz w:val="20"/>
                <w:szCs w:val="20"/>
              </w:rPr>
            </w:pPr>
          </w:p>
        </w:tc>
        <w:tc>
          <w:tcPr>
            <w:tcW w:w="12049" w:type="dxa"/>
          </w:tcPr>
          <w:p w14:paraId="7CCB8E82" w14:textId="77777777" w:rsidR="00BA5F36" w:rsidRPr="00E73CF5" w:rsidRDefault="00BA5F36" w:rsidP="00BA5F36">
            <w:pPr>
              <w:rPr>
                <w:sz w:val="20"/>
                <w:szCs w:val="20"/>
              </w:rPr>
            </w:pPr>
            <w:r w:rsidRPr="00E73CF5">
              <w:rPr>
                <w:sz w:val="20"/>
                <w:szCs w:val="20"/>
              </w:rPr>
              <w:t>5) Publish open data of the DNI showing the execution of the investment projects promoted under Law 16,906. Publish the subsidies that are granted, and the projects evaluated from the DNI.</w:t>
            </w:r>
          </w:p>
        </w:tc>
      </w:tr>
      <w:tr w:rsidR="00BA5F36" w:rsidRPr="00E73CF5" w14:paraId="2C2C942E" w14:textId="77777777" w:rsidTr="000A5230">
        <w:tc>
          <w:tcPr>
            <w:tcW w:w="1413" w:type="dxa"/>
          </w:tcPr>
          <w:p w14:paraId="7C4AAC7F" w14:textId="77777777" w:rsidR="00BA5F36" w:rsidRPr="00E73CF5" w:rsidRDefault="00BA5F36" w:rsidP="00BA5F36">
            <w:pPr>
              <w:rPr>
                <w:rFonts w:ascii="Calibri" w:eastAsia="Times New Roman" w:hAnsi="Calibri" w:cs="Times New Roman"/>
                <w:color w:val="000000"/>
                <w:sz w:val="20"/>
                <w:szCs w:val="20"/>
                <w:lang w:eastAsia="en-NZ"/>
              </w:rPr>
            </w:pPr>
          </w:p>
        </w:tc>
        <w:tc>
          <w:tcPr>
            <w:tcW w:w="1134" w:type="dxa"/>
          </w:tcPr>
          <w:p w14:paraId="57C886F6" w14:textId="77777777" w:rsidR="00BA5F36" w:rsidRPr="00E73CF5" w:rsidRDefault="00BA5F36" w:rsidP="00BA5F36">
            <w:pPr>
              <w:jc w:val="center"/>
              <w:rPr>
                <w:sz w:val="20"/>
                <w:szCs w:val="20"/>
              </w:rPr>
            </w:pPr>
            <w:r w:rsidRPr="00E73CF5">
              <w:rPr>
                <w:sz w:val="20"/>
                <w:szCs w:val="20"/>
              </w:rPr>
              <w:t>Uruguay</w:t>
            </w:r>
          </w:p>
          <w:p w14:paraId="42EE6AE7" w14:textId="7A894B1C" w:rsidR="00BA5F36" w:rsidRPr="00E73CF5" w:rsidRDefault="00BA5F36" w:rsidP="00BA5F36">
            <w:pPr>
              <w:jc w:val="center"/>
              <w:rPr>
                <w:sz w:val="20"/>
                <w:szCs w:val="20"/>
              </w:rPr>
            </w:pPr>
          </w:p>
        </w:tc>
        <w:tc>
          <w:tcPr>
            <w:tcW w:w="12049" w:type="dxa"/>
          </w:tcPr>
          <w:p w14:paraId="4F87EA19" w14:textId="77777777" w:rsidR="00BA5F36" w:rsidRPr="00E73CF5" w:rsidRDefault="00BA5F36" w:rsidP="00BA5F36">
            <w:pPr>
              <w:rPr>
                <w:sz w:val="20"/>
                <w:szCs w:val="20"/>
              </w:rPr>
            </w:pPr>
            <w:r w:rsidRPr="00E73CF5">
              <w:rPr>
                <w:sz w:val="20"/>
                <w:szCs w:val="20"/>
              </w:rPr>
              <w:t xml:space="preserve">6) Unifying in a single tool and repository the information of the different pillar areas of PAEPU, in construction of new schools and maintenance, equipment and teacher training, in the form of a scoreboard. Have a visualization tool with easy access to the citizens of the process of construction, management and results of the works designed and built by PAEPU. </w:t>
            </w:r>
            <w:r w:rsidRPr="00E73CF5">
              <w:t xml:space="preserve"> </w:t>
            </w:r>
            <w:r w:rsidRPr="00E73CF5">
              <w:rPr>
                <w:sz w:val="20"/>
                <w:szCs w:val="20"/>
              </w:rPr>
              <w:t xml:space="preserve">Maintenance Plans will be carried out with the participation of the educational community: teachers, students, parents and neighbours. </w:t>
            </w:r>
            <w:r w:rsidRPr="00E73CF5">
              <w:t xml:space="preserve"> </w:t>
            </w:r>
          </w:p>
        </w:tc>
      </w:tr>
      <w:tr w:rsidR="00BA5F36" w:rsidRPr="00E73CF5" w14:paraId="48E12BE9" w14:textId="77777777" w:rsidTr="000A5230">
        <w:tc>
          <w:tcPr>
            <w:tcW w:w="1413" w:type="dxa"/>
          </w:tcPr>
          <w:p w14:paraId="453D6D0C" w14:textId="77777777" w:rsidR="00BA5F36" w:rsidRPr="00E73CF5" w:rsidRDefault="00BA5F36" w:rsidP="00BA5F36">
            <w:pPr>
              <w:rPr>
                <w:rFonts w:ascii="Calibri" w:eastAsia="Times New Roman" w:hAnsi="Calibri" w:cs="Times New Roman"/>
                <w:color w:val="000000"/>
                <w:sz w:val="20"/>
                <w:szCs w:val="20"/>
                <w:lang w:eastAsia="en-NZ"/>
              </w:rPr>
            </w:pPr>
          </w:p>
        </w:tc>
        <w:tc>
          <w:tcPr>
            <w:tcW w:w="1134" w:type="dxa"/>
          </w:tcPr>
          <w:p w14:paraId="23C46FF6" w14:textId="13FBB4D5" w:rsidR="00BA5F36" w:rsidRPr="00E73CF5" w:rsidRDefault="00BA5F36" w:rsidP="00EA7718">
            <w:pPr>
              <w:jc w:val="center"/>
              <w:rPr>
                <w:sz w:val="20"/>
                <w:szCs w:val="20"/>
              </w:rPr>
            </w:pPr>
            <w:r w:rsidRPr="00E73CF5">
              <w:rPr>
                <w:sz w:val="20"/>
                <w:szCs w:val="20"/>
              </w:rPr>
              <w:t>Uruguay</w:t>
            </w:r>
          </w:p>
        </w:tc>
        <w:tc>
          <w:tcPr>
            <w:tcW w:w="12049" w:type="dxa"/>
          </w:tcPr>
          <w:p w14:paraId="42080629" w14:textId="77777777" w:rsidR="00BA5F36" w:rsidRPr="00E73CF5" w:rsidRDefault="00BA5F36" w:rsidP="00BA5F36">
            <w:pPr>
              <w:rPr>
                <w:sz w:val="20"/>
                <w:szCs w:val="20"/>
              </w:rPr>
            </w:pPr>
            <w:r w:rsidRPr="00E73CF5">
              <w:rPr>
                <w:sz w:val="20"/>
                <w:szCs w:val="20"/>
              </w:rPr>
              <w:t>12) Develop portal that allows monitoring of strategic projects carried out by the Departmental Government of Montevideo.</w:t>
            </w:r>
          </w:p>
        </w:tc>
      </w:tr>
      <w:tr w:rsidR="00BA5F36" w:rsidRPr="00E73CF5" w14:paraId="3BC8CB31" w14:textId="77777777" w:rsidTr="000A5230">
        <w:tc>
          <w:tcPr>
            <w:tcW w:w="1413" w:type="dxa"/>
          </w:tcPr>
          <w:p w14:paraId="015E5B65" w14:textId="77777777" w:rsidR="00BA5F36" w:rsidRPr="00E73CF5" w:rsidRDefault="00BA5F36" w:rsidP="00BA5F36">
            <w:pPr>
              <w:rPr>
                <w:rFonts w:ascii="Calibri" w:eastAsia="Times New Roman" w:hAnsi="Calibri" w:cs="Times New Roman"/>
                <w:color w:val="000000"/>
                <w:sz w:val="20"/>
                <w:szCs w:val="20"/>
                <w:lang w:eastAsia="en-NZ"/>
              </w:rPr>
            </w:pPr>
          </w:p>
        </w:tc>
        <w:tc>
          <w:tcPr>
            <w:tcW w:w="1134" w:type="dxa"/>
          </w:tcPr>
          <w:p w14:paraId="1BE4EBB0" w14:textId="77777777" w:rsidR="00BA5F36" w:rsidRPr="00E73CF5" w:rsidRDefault="00BA5F36" w:rsidP="00BA5F36">
            <w:pPr>
              <w:jc w:val="center"/>
              <w:rPr>
                <w:rFonts w:ascii="Calibri" w:eastAsia="Times New Roman" w:hAnsi="Calibri" w:cs="Times New Roman"/>
                <w:color w:val="000000"/>
                <w:sz w:val="20"/>
                <w:szCs w:val="20"/>
                <w:lang w:eastAsia="en-NZ"/>
              </w:rPr>
            </w:pPr>
            <w:r w:rsidRPr="00E73CF5">
              <w:rPr>
                <w:rFonts w:ascii="Calibri" w:eastAsia="Times New Roman" w:hAnsi="Calibri" w:cs="Times New Roman"/>
                <w:color w:val="000000"/>
                <w:sz w:val="20"/>
                <w:szCs w:val="20"/>
                <w:lang w:eastAsia="en-NZ"/>
              </w:rPr>
              <w:t>USA</w:t>
            </w:r>
          </w:p>
          <w:p w14:paraId="3832890B" w14:textId="03E5EDBA" w:rsidR="00BA5F36" w:rsidRPr="00E73CF5" w:rsidRDefault="00BA5F36" w:rsidP="00BA5F36">
            <w:pPr>
              <w:jc w:val="center"/>
              <w:rPr>
                <w:rFonts w:ascii="Calibri" w:eastAsia="Times New Roman" w:hAnsi="Calibri" w:cs="Times New Roman"/>
                <w:color w:val="000000"/>
                <w:sz w:val="20"/>
                <w:szCs w:val="20"/>
                <w:lang w:eastAsia="en-NZ"/>
              </w:rPr>
            </w:pPr>
          </w:p>
        </w:tc>
        <w:tc>
          <w:tcPr>
            <w:tcW w:w="12049" w:type="dxa"/>
            <w:vAlign w:val="bottom"/>
          </w:tcPr>
          <w:p w14:paraId="05C042A1" w14:textId="77777777" w:rsidR="00BA5F36" w:rsidRPr="00E73CF5" w:rsidRDefault="00BA5F36" w:rsidP="00BA5F36">
            <w:pPr>
              <w:rPr>
                <w:rFonts w:ascii="Calibri" w:eastAsia="Times New Roman" w:hAnsi="Calibri" w:cs="Times New Roman"/>
                <w:color w:val="000000"/>
                <w:sz w:val="20"/>
                <w:szCs w:val="20"/>
                <w:lang w:eastAsia="en-NZ"/>
              </w:rPr>
            </w:pPr>
            <w:r w:rsidRPr="00E73CF5">
              <w:rPr>
                <w:rFonts w:ascii="Calibri" w:eastAsia="Times New Roman" w:hAnsi="Calibri" w:cs="Times New Roman"/>
                <w:color w:val="000000"/>
                <w:sz w:val="20"/>
                <w:szCs w:val="20"/>
                <w:lang w:eastAsia="en-NZ"/>
              </w:rPr>
              <w:t>11) In September 2015, the Office of Management and Budget and Council on Environmental Quality issued guidance directing the 11 Federal agencies that play a significant role in permitting, review, funding and development of large-scale infrastructure projects to begin developing coordinated project review schedules and posting them publicly on the Federal Infrastructure Permitting Dashboard by 2016. Expanding use of the Dashboard to infrastructure projects involving complex permitting processes and significant environmental effects will improve communication with project applicants and sponsors, increase interagency coordination, and increase the transparency and accountability of the Federal permitting and environmental review process.</w:t>
            </w:r>
          </w:p>
        </w:tc>
      </w:tr>
      <w:tr w:rsidR="00BA5F36" w:rsidRPr="00E73CF5" w14:paraId="6B9E5B22" w14:textId="77777777" w:rsidTr="000A5230">
        <w:tc>
          <w:tcPr>
            <w:tcW w:w="1413" w:type="dxa"/>
          </w:tcPr>
          <w:p w14:paraId="2127F331" w14:textId="77777777" w:rsidR="00BA5F36" w:rsidRPr="00E73CF5" w:rsidRDefault="00BA5F36" w:rsidP="00BA5F36">
            <w:pPr>
              <w:rPr>
                <w:b/>
                <w:sz w:val="20"/>
                <w:szCs w:val="20"/>
              </w:rPr>
            </w:pPr>
            <w:r w:rsidRPr="00E73CF5">
              <w:rPr>
                <w:b/>
                <w:sz w:val="20"/>
                <w:szCs w:val="20"/>
              </w:rPr>
              <w:t>HLP 3:</w:t>
            </w:r>
          </w:p>
          <w:p w14:paraId="14A950DB" w14:textId="77777777" w:rsidR="00BA5F36" w:rsidRPr="00E73CF5" w:rsidRDefault="00BA5F36" w:rsidP="00BA5F36">
            <w:pPr>
              <w:rPr>
                <w:sz w:val="20"/>
                <w:szCs w:val="20"/>
              </w:rPr>
            </w:pPr>
            <w:r w:rsidRPr="00E73CF5">
              <w:rPr>
                <w:b/>
                <w:sz w:val="20"/>
                <w:szCs w:val="20"/>
              </w:rPr>
              <w:lastRenderedPageBreak/>
              <w:t>g. Open fiscal data</w:t>
            </w:r>
          </w:p>
        </w:tc>
        <w:tc>
          <w:tcPr>
            <w:tcW w:w="1134" w:type="dxa"/>
          </w:tcPr>
          <w:p w14:paraId="3E8FA1EC" w14:textId="77777777" w:rsidR="00BA5F36" w:rsidRPr="00E73CF5" w:rsidRDefault="00BA5F36" w:rsidP="00BA5F36">
            <w:pPr>
              <w:jc w:val="center"/>
              <w:rPr>
                <w:sz w:val="20"/>
                <w:szCs w:val="20"/>
              </w:rPr>
            </w:pPr>
          </w:p>
        </w:tc>
        <w:tc>
          <w:tcPr>
            <w:tcW w:w="12049" w:type="dxa"/>
          </w:tcPr>
          <w:p w14:paraId="2743B5B3" w14:textId="77777777" w:rsidR="00BA5F36" w:rsidRPr="00E73CF5" w:rsidRDefault="00BA5F36" w:rsidP="00BA5F36">
            <w:pPr>
              <w:rPr>
                <w:b/>
                <w:sz w:val="20"/>
                <w:szCs w:val="20"/>
              </w:rPr>
            </w:pPr>
          </w:p>
        </w:tc>
      </w:tr>
      <w:tr w:rsidR="00BA5F36" w:rsidRPr="00E73CF5" w14:paraId="14C6A926" w14:textId="77777777" w:rsidTr="000A5230">
        <w:tc>
          <w:tcPr>
            <w:tcW w:w="1413" w:type="dxa"/>
          </w:tcPr>
          <w:p w14:paraId="22D75C02" w14:textId="77777777" w:rsidR="00BA5F36" w:rsidRPr="00E73CF5" w:rsidRDefault="00BA5F36" w:rsidP="00BA5F36">
            <w:pPr>
              <w:rPr>
                <w:sz w:val="20"/>
                <w:szCs w:val="20"/>
              </w:rPr>
            </w:pPr>
          </w:p>
        </w:tc>
        <w:tc>
          <w:tcPr>
            <w:tcW w:w="1134" w:type="dxa"/>
          </w:tcPr>
          <w:p w14:paraId="30CCB69C" w14:textId="77777777" w:rsidR="00BA5F36" w:rsidRDefault="00BA5F36" w:rsidP="00BA5F36">
            <w:pPr>
              <w:jc w:val="center"/>
              <w:rPr>
                <w:sz w:val="20"/>
                <w:szCs w:val="20"/>
              </w:rPr>
            </w:pPr>
            <w:r>
              <w:rPr>
                <w:sz w:val="20"/>
                <w:szCs w:val="20"/>
              </w:rPr>
              <w:t>Brazil</w:t>
            </w:r>
          </w:p>
          <w:p w14:paraId="3AF17A4A" w14:textId="26DDB929" w:rsidR="00BA5F36" w:rsidRPr="00E73CF5" w:rsidRDefault="00BA5F36" w:rsidP="00BA5F36">
            <w:pPr>
              <w:jc w:val="center"/>
              <w:rPr>
                <w:sz w:val="20"/>
                <w:szCs w:val="20"/>
              </w:rPr>
            </w:pPr>
          </w:p>
        </w:tc>
        <w:tc>
          <w:tcPr>
            <w:tcW w:w="12049" w:type="dxa"/>
          </w:tcPr>
          <w:p w14:paraId="1163B4C7" w14:textId="77777777" w:rsidR="00BA5F36" w:rsidRPr="008F535E" w:rsidRDefault="00BA5F36" w:rsidP="00BA5F36">
            <w:pPr>
              <w:rPr>
                <w:sz w:val="20"/>
                <w:szCs w:val="20"/>
              </w:rPr>
            </w:pPr>
            <w:r w:rsidRPr="008F535E">
              <w:rPr>
                <w:sz w:val="20"/>
                <w:szCs w:val="20"/>
              </w:rPr>
              <w:t>2</w:t>
            </w:r>
            <w:r>
              <w:rPr>
                <w:sz w:val="20"/>
                <w:szCs w:val="20"/>
              </w:rPr>
              <w:t>)</w:t>
            </w:r>
            <w:r w:rsidRPr="008F535E">
              <w:rPr>
                <w:sz w:val="20"/>
                <w:szCs w:val="20"/>
              </w:rPr>
              <w:t xml:space="preserve"> Transparency of public funds (Ministry of Transparency, Oversight and Comptroller General)</w:t>
            </w:r>
          </w:p>
          <w:p w14:paraId="5CED403F" w14:textId="391AFBD4" w:rsidR="00BA5F36" w:rsidRPr="00E73CF5" w:rsidRDefault="00BA5F36" w:rsidP="00BA5F36">
            <w:pPr>
              <w:rPr>
                <w:sz w:val="20"/>
                <w:szCs w:val="20"/>
              </w:rPr>
            </w:pPr>
            <w:r w:rsidRPr="008F535E">
              <w:rPr>
                <w:sz w:val="20"/>
                <w:szCs w:val="20"/>
              </w:rPr>
              <w:t>Commitments relating to any efforts explicitly aimed at promoting accessibility to the general public of fiscal data and fiscal information, including open data, data portals, mobile phone apps, plain language guides such as Citizen Budgets, including all activities that try to encourage or facilitate participation (e.g. open data, portals, citizens budgets etc) but that stop short of actual public participation.</w:t>
            </w:r>
          </w:p>
        </w:tc>
      </w:tr>
      <w:tr w:rsidR="00BA5F36" w:rsidRPr="00E73CF5" w14:paraId="2EBD5CFF" w14:textId="77777777" w:rsidTr="000A5230">
        <w:tc>
          <w:tcPr>
            <w:tcW w:w="1413" w:type="dxa"/>
          </w:tcPr>
          <w:p w14:paraId="351B0FA7" w14:textId="77777777" w:rsidR="00BA5F36" w:rsidRPr="00E73CF5" w:rsidRDefault="00BA5F36" w:rsidP="00BA5F36">
            <w:pPr>
              <w:rPr>
                <w:sz w:val="20"/>
                <w:szCs w:val="20"/>
              </w:rPr>
            </w:pPr>
          </w:p>
        </w:tc>
        <w:tc>
          <w:tcPr>
            <w:tcW w:w="1134" w:type="dxa"/>
          </w:tcPr>
          <w:p w14:paraId="6A344D83" w14:textId="77777777" w:rsidR="00BA5F36" w:rsidRPr="00E73CF5" w:rsidRDefault="00BA5F36" w:rsidP="00BA5F36">
            <w:pPr>
              <w:jc w:val="center"/>
              <w:rPr>
                <w:sz w:val="20"/>
                <w:szCs w:val="20"/>
              </w:rPr>
            </w:pPr>
            <w:r w:rsidRPr="00E73CF5">
              <w:rPr>
                <w:sz w:val="20"/>
                <w:szCs w:val="20"/>
              </w:rPr>
              <w:t>Colombia</w:t>
            </w:r>
          </w:p>
          <w:p w14:paraId="738E7E3E" w14:textId="2315310F" w:rsidR="00BA5F36" w:rsidRPr="00E73CF5" w:rsidRDefault="00BA5F36" w:rsidP="00BA5F36">
            <w:pPr>
              <w:jc w:val="center"/>
              <w:rPr>
                <w:sz w:val="20"/>
                <w:szCs w:val="20"/>
              </w:rPr>
            </w:pPr>
          </w:p>
        </w:tc>
        <w:tc>
          <w:tcPr>
            <w:tcW w:w="12049" w:type="dxa"/>
          </w:tcPr>
          <w:p w14:paraId="3C8E00B1" w14:textId="77777777" w:rsidR="00BA5F36" w:rsidRPr="00E73CF5" w:rsidRDefault="00BA5F36" w:rsidP="00BA5F36">
            <w:pPr>
              <w:rPr>
                <w:sz w:val="20"/>
                <w:szCs w:val="20"/>
              </w:rPr>
            </w:pPr>
            <w:r w:rsidRPr="00E73CF5">
              <w:rPr>
                <w:sz w:val="20"/>
                <w:szCs w:val="20"/>
              </w:rPr>
              <w:t>2) The strengthening of the electronic procurement system (SECOP I and II) will continue through online procurement. Implementation of the open recruitment data standard;</w:t>
            </w:r>
          </w:p>
        </w:tc>
      </w:tr>
      <w:tr w:rsidR="00BA5F36" w:rsidRPr="00E73CF5" w14:paraId="50F96C43" w14:textId="77777777" w:rsidTr="000A5230">
        <w:tc>
          <w:tcPr>
            <w:tcW w:w="1413" w:type="dxa"/>
          </w:tcPr>
          <w:p w14:paraId="31A55C2F" w14:textId="77777777" w:rsidR="00BA5F36" w:rsidRPr="00E73CF5" w:rsidRDefault="00BA5F36" w:rsidP="00BA5F36">
            <w:pPr>
              <w:rPr>
                <w:sz w:val="20"/>
                <w:szCs w:val="20"/>
              </w:rPr>
            </w:pPr>
          </w:p>
        </w:tc>
        <w:tc>
          <w:tcPr>
            <w:tcW w:w="1134" w:type="dxa"/>
          </w:tcPr>
          <w:p w14:paraId="2FCE3DBC" w14:textId="77777777" w:rsidR="00BA5F36" w:rsidRPr="00E73CF5" w:rsidRDefault="00BA5F36" w:rsidP="00BA5F36">
            <w:pPr>
              <w:jc w:val="center"/>
              <w:rPr>
                <w:sz w:val="20"/>
                <w:szCs w:val="20"/>
              </w:rPr>
            </w:pPr>
            <w:r w:rsidRPr="00E73CF5">
              <w:rPr>
                <w:sz w:val="20"/>
                <w:szCs w:val="20"/>
              </w:rPr>
              <w:t>Guatemala</w:t>
            </w:r>
          </w:p>
          <w:p w14:paraId="162313CA" w14:textId="7F07C192" w:rsidR="00BA5F36" w:rsidRPr="00E73CF5" w:rsidRDefault="00BA5F36" w:rsidP="00BA5F36">
            <w:pPr>
              <w:jc w:val="center"/>
              <w:rPr>
                <w:sz w:val="20"/>
                <w:szCs w:val="20"/>
              </w:rPr>
            </w:pPr>
          </w:p>
        </w:tc>
        <w:tc>
          <w:tcPr>
            <w:tcW w:w="12049" w:type="dxa"/>
          </w:tcPr>
          <w:p w14:paraId="5ABAF297" w14:textId="77777777" w:rsidR="00BA5F36" w:rsidRPr="00E73CF5" w:rsidRDefault="00BA5F36" w:rsidP="00BA5F36">
            <w:pPr>
              <w:rPr>
                <w:sz w:val="20"/>
                <w:szCs w:val="20"/>
              </w:rPr>
            </w:pPr>
            <w:r w:rsidRPr="00E73CF5">
              <w:rPr>
                <w:sz w:val="20"/>
                <w:szCs w:val="20"/>
              </w:rPr>
              <w:t xml:space="preserve">19) To implement the provisions and procedures that update the </w:t>
            </w:r>
            <w:proofErr w:type="spellStart"/>
            <w:r w:rsidRPr="00E73CF5">
              <w:rPr>
                <w:sz w:val="20"/>
                <w:szCs w:val="20"/>
              </w:rPr>
              <w:t>Guatecompras</w:t>
            </w:r>
            <w:proofErr w:type="spellEnd"/>
            <w:r w:rsidRPr="00E73CF5">
              <w:rPr>
                <w:sz w:val="20"/>
                <w:szCs w:val="20"/>
              </w:rPr>
              <w:t xml:space="preserve"> modules, in accordance with the reforms of the State Procurement Law, and to evaluate the appropriateness of adopting the Open Data Standard for Open Contracts.</w:t>
            </w:r>
          </w:p>
        </w:tc>
      </w:tr>
      <w:tr w:rsidR="00BA5F36" w:rsidRPr="00E73CF5" w14:paraId="597E8787" w14:textId="77777777" w:rsidTr="000A5230">
        <w:tc>
          <w:tcPr>
            <w:tcW w:w="1413" w:type="dxa"/>
          </w:tcPr>
          <w:p w14:paraId="42D01205" w14:textId="77777777" w:rsidR="00BA5F36" w:rsidRPr="00E73CF5" w:rsidRDefault="00BA5F36" w:rsidP="00BA5F36">
            <w:pPr>
              <w:rPr>
                <w:sz w:val="20"/>
                <w:szCs w:val="20"/>
              </w:rPr>
            </w:pPr>
          </w:p>
        </w:tc>
        <w:tc>
          <w:tcPr>
            <w:tcW w:w="1134" w:type="dxa"/>
          </w:tcPr>
          <w:p w14:paraId="7A9AF285" w14:textId="77777777" w:rsidR="00BA5F36" w:rsidRDefault="00BA5F36" w:rsidP="00BA5F36">
            <w:pPr>
              <w:jc w:val="center"/>
              <w:rPr>
                <w:sz w:val="20"/>
                <w:szCs w:val="20"/>
              </w:rPr>
            </w:pPr>
            <w:r>
              <w:rPr>
                <w:sz w:val="20"/>
                <w:szCs w:val="20"/>
              </w:rPr>
              <w:t xml:space="preserve">Indonesia </w:t>
            </w:r>
          </w:p>
          <w:p w14:paraId="43502C33" w14:textId="6799F5EC" w:rsidR="00BA5F36" w:rsidRPr="00E73CF5" w:rsidRDefault="00BA5F36" w:rsidP="00BA5F36">
            <w:pPr>
              <w:jc w:val="center"/>
              <w:rPr>
                <w:sz w:val="20"/>
                <w:szCs w:val="20"/>
              </w:rPr>
            </w:pPr>
          </w:p>
        </w:tc>
        <w:tc>
          <w:tcPr>
            <w:tcW w:w="12049" w:type="dxa"/>
          </w:tcPr>
          <w:p w14:paraId="63997578" w14:textId="0AF4D440" w:rsidR="00BA5F36" w:rsidRPr="004D3DEC" w:rsidRDefault="00BA5F36" w:rsidP="00BA5F36">
            <w:pPr>
              <w:rPr>
                <w:sz w:val="20"/>
                <w:szCs w:val="20"/>
              </w:rPr>
            </w:pPr>
            <w:r w:rsidRPr="004D3DEC">
              <w:rPr>
                <w:sz w:val="20"/>
                <w:szCs w:val="20"/>
              </w:rPr>
              <w:t>21</w:t>
            </w:r>
            <w:r>
              <w:rPr>
                <w:sz w:val="20"/>
                <w:szCs w:val="20"/>
              </w:rPr>
              <w:t>)</w:t>
            </w:r>
            <w:r w:rsidRPr="004D3DEC">
              <w:rPr>
                <w:sz w:val="20"/>
                <w:szCs w:val="20"/>
              </w:rPr>
              <w:t xml:space="preserve"> Budget Transparency Information System (Ministry of Finance, DG Budget)</w:t>
            </w:r>
          </w:p>
          <w:p w14:paraId="75BC726C" w14:textId="0E6E074C" w:rsidR="00BA5F36" w:rsidRPr="00E73CF5" w:rsidRDefault="00BA5F36" w:rsidP="00BA5F36">
            <w:pPr>
              <w:rPr>
                <w:sz w:val="20"/>
                <w:szCs w:val="20"/>
              </w:rPr>
            </w:pPr>
            <w:r w:rsidRPr="004D3DEC">
              <w:rPr>
                <w:sz w:val="20"/>
                <w:szCs w:val="20"/>
              </w:rPr>
              <w:t>Development of budget data portal</w:t>
            </w:r>
          </w:p>
        </w:tc>
      </w:tr>
      <w:tr w:rsidR="00BA5F36" w:rsidRPr="00E73CF5" w14:paraId="2D854B58" w14:textId="77777777" w:rsidTr="000A5230">
        <w:tc>
          <w:tcPr>
            <w:tcW w:w="1413" w:type="dxa"/>
          </w:tcPr>
          <w:p w14:paraId="0BBB2547" w14:textId="77777777" w:rsidR="00BA5F36" w:rsidRPr="00E73CF5" w:rsidRDefault="00BA5F36" w:rsidP="00BA5F36">
            <w:pPr>
              <w:rPr>
                <w:sz w:val="20"/>
                <w:szCs w:val="20"/>
              </w:rPr>
            </w:pPr>
          </w:p>
        </w:tc>
        <w:tc>
          <w:tcPr>
            <w:tcW w:w="1134" w:type="dxa"/>
          </w:tcPr>
          <w:p w14:paraId="2591CD97" w14:textId="77777777" w:rsidR="00BA5F36" w:rsidRPr="00E73CF5" w:rsidRDefault="00BA5F36" w:rsidP="00BA5F36">
            <w:pPr>
              <w:jc w:val="center"/>
              <w:rPr>
                <w:sz w:val="20"/>
                <w:szCs w:val="20"/>
              </w:rPr>
            </w:pPr>
            <w:r w:rsidRPr="00E73CF5">
              <w:rPr>
                <w:sz w:val="20"/>
                <w:szCs w:val="20"/>
              </w:rPr>
              <w:t>Uruguay</w:t>
            </w:r>
          </w:p>
          <w:p w14:paraId="6588E78E" w14:textId="187C508E" w:rsidR="00BA5F36" w:rsidRPr="00E73CF5" w:rsidRDefault="00BA5F36" w:rsidP="00BA5F36">
            <w:pPr>
              <w:jc w:val="center"/>
              <w:rPr>
                <w:sz w:val="20"/>
                <w:szCs w:val="20"/>
              </w:rPr>
            </w:pPr>
          </w:p>
        </w:tc>
        <w:tc>
          <w:tcPr>
            <w:tcW w:w="12049" w:type="dxa"/>
          </w:tcPr>
          <w:p w14:paraId="50281A49" w14:textId="77777777" w:rsidR="00BA5F36" w:rsidRPr="00E73CF5" w:rsidRDefault="00BA5F36" w:rsidP="00BA5F36">
            <w:pPr>
              <w:rPr>
                <w:sz w:val="20"/>
                <w:szCs w:val="20"/>
              </w:rPr>
            </w:pPr>
            <w:r w:rsidRPr="00E73CF5">
              <w:rPr>
                <w:sz w:val="20"/>
                <w:szCs w:val="20"/>
              </w:rPr>
              <w:t xml:space="preserve">8) To implement the National Open Data Plan of Government 2016-2020, including a regulatory framework and a process of implementation of art. 82 of the law 19355 (Law of National Budget - https://www.impo.com.uy/bases/leyes/19355-2015/82). </w:t>
            </w:r>
          </w:p>
        </w:tc>
      </w:tr>
      <w:tr w:rsidR="00BA5F36" w:rsidRPr="00E73CF5" w14:paraId="3ABDF54D" w14:textId="77777777" w:rsidTr="000A5230">
        <w:tc>
          <w:tcPr>
            <w:tcW w:w="1413" w:type="dxa"/>
          </w:tcPr>
          <w:p w14:paraId="6DA84D3A" w14:textId="77777777" w:rsidR="00BA5F36" w:rsidRPr="00E73CF5" w:rsidRDefault="00BA5F36" w:rsidP="00BA5F36">
            <w:pPr>
              <w:rPr>
                <w:sz w:val="20"/>
                <w:szCs w:val="20"/>
              </w:rPr>
            </w:pPr>
          </w:p>
        </w:tc>
        <w:tc>
          <w:tcPr>
            <w:tcW w:w="1134" w:type="dxa"/>
          </w:tcPr>
          <w:p w14:paraId="7461F206" w14:textId="36B5230E" w:rsidR="00BA5F36" w:rsidRPr="00E73CF5" w:rsidRDefault="00BA5F36" w:rsidP="00EA7718">
            <w:pPr>
              <w:jc w:val="center"/>
              <w:rPr>
                <w:sz w:val="20"/>
                <w:szCs w:val="20"/>
              </w:rPr>
            </w:pPr>
            <w:r w:rsidRPr="00E73CF5">
              <w:rPr>
                <w:sz w:val="20"/>
                <w:szCs w:val="20"/>
              </w:rPr>
              <w:t>Uruguay</w:t>
            </w:r>
          </w:p>
        </w:tc>
        <w:tc>
          <w:tcPr>
            <w:tcW w:w="12049" w:type="dxa"/>
          </w:tcPr>
          <w:p w14:paraId="6C8EBB8D" w14:textId="77777777" w:rsidR="00BA5F36" w:rsidRPr="00E73CF5" w:rsidRDefault="00BA5F36" w:rsidP="00BA5F36">
            <w:pPr>
              <w:rPr>
                <w:sz w:val="20"/>
                <w:szCs w:val="20"/>
              </w:rPr>
            </w:pPr>
            <w:r w:rsidRPr="00E73CF5">
              <w:rPr>
                <w:sz w:val="20"/>
                <w:szCs w:val="20"/>
              </w:rPr>
              <w:t xml:space="preserve">11) Adaptation of the format of the currently published open data to the Open Contracting standard for the Call and Award phases. </w:t>
            </w:r>
          </w:p>
        </w:tc>
      </w:tr>
      <w:tr w:rsidR="00BA5F36" w:rsidRPr="00E73CF5" w14:paraId="507D7127" w14:textId="77777777" w:rsidTr="000A5230">
        <w:tc>
          <w:tcPr>
            <w:tcW w:w="1413" w:type="dxa"/>
          </w:tcPr>
          <w:p w14:paraId="2478662A" w14:textId="77777777" w:rsidR="00BA5F36" w:rsidRPr="00E73CF5" w:rsidRDefault="00BA5F36" w:rsidP="00BA5F36">
            <w:pPr>
              <w:rPr>
                <w:sz w:val="20"/>
                <w:szCs w:val="20"/>
              </w:rPr>
            </w:pPr>
          </w:p>
        </w:tc>
        <w:tc>
          <w:tcPr>
            <w:tcW w:w="1134" w:type="dxa"/>
          </w:tcPr>
          <w:p w14:paraId="39F40EE8" w14:textId="77777777" w:rsidR="00BA5F36" w:rsidRPr="00E73CF5" w:rsidRDefault="00BA5F36" w:rsidP="00BA5F36">
            <w:pPr>
              <w:jc w:val="center"/>
              <w:rPr>
                <w:sz w:val="20"/>
                <w:szCs w:val="20"/>
              </w:rPr>
            </w:pPr>
            <w:r w:rsidRPr="00E73CF5">
              <w:rPr>
                <w:sz w:val="20"/>
                <w:szCs w:val="20"/>
              </w:rPr>
              <w:t>USA</w:t>
            </w:r>
          </w:p>
          <w:p w14:paraId="62ECB637" w14:textId="31D2DC4E" w:rsidR="00BA5F36" w:rsidRPr="00E73CF5" w:rsidRDefault="00BA5F36" w:rsidP="00BA5F36">
            <w:pPr>
              <w:jc w:val="center"/>
              <w:rPr>
                <w:sz w:val="20"/>
                <w:szCs w:val="20"/>
              </w:rPr>
            </w:pPr>
          </w:p>
        </w:tc>
        <w:tc>
          <w:tcPr>
            <w:tcW w:w="12049" w:type="dxa"/>
          </w:tcPr>
          <w:p w14:paraId="2E175750" w14:textId="77777777" w:rsidR="00BA5F36" w:rsidRPr="00E73CF5" w:rsidRDefault="00BA5F36" w:rsidP="00BA5F36">
            <w:pPr>
              <w:rPr>
                <w:sz w:val="20"/>
                <w:szCs w:val="20"/>
              </w:rPr>
            </w:pPr>
            <w:r w:rsidRPr="00E73CF5">
              <w:rPr>
                <w:sz w:val="20"/>
                <w:szCs w:val="20"/>
              </w:rPr>
              <w:t xml:space="preserve">32) In 2015, the Budget was made available in an open-source format for the first time. In addition, the Administration finalized data standards as required by the Digital Accountability and Transparency Act of 2014 (DATA Act). </w:t>
            </w:r>
            <w:r w:rsidRPr="00E73CF5">
              <w:t xml:space="preserve"> </w:t>
            </w:r>
            <w:r w:rsidRPr="00E73CF5">
              <w:rPr>
                <w:sz w:val="20"/>
                <w:szCs w:val="20"/>
              </w:rPr>
              <w:t>The Administration continues to look for new ways to increase transparency in Federal spending, by improving the quality and consistency of spending data.</w:t>
            </w:r>
          </w:p>
        </w:tc>
      </w:tr>
      <w:tr w:rsidR="00BA5F36" w:rsidRPr="00E73CF5" w14:paraId="2D6DD8D6" w14:textId="77777777" w:rsidTr="000A5230">
        <w:tc>
          <w:tcPr>
            <w:tcW w:w="1413" w:type="dxa"/>
          </w:tcPr>
          <w:p w14:paraId="776ABDE1" w14:textId="77777777" w:rsidR="00BA5F36" w:rsidRPr="00E73CF5" w:rsidRDefault="00BA5F36" w:rsidP="00BA5F36">
            <w:pPr>
              <w:rPr>
                <w:b/>
                <w:sz w:val="20"/>
                <w:szCs w:val="20"/>
              </w:rPr>
            </w:pPr>
            <w:r w:rsidRPr="00E73CF5">
              <w:t xml:space="preserve"> </w:t>
            </w:r>
            <w:r w:rsidRPr="00E73CF5">
              <w:rPr>
                <w:b/>
                <w:sz w:val="20"/>
                <w:szCs w:val="20"/>
              </w:rPr>
              <w:t>HLP 3:</w:t>
            </w:r>
          </w:p>
          <w:p w14:paraId="55036356" w14:textId="77777777" w:rsidR="00BA5F36" w:rsidRPr="00E73CF5" w:rsidRDefault="00BA5F36" w:rsidP="00BA5F36">
            <w:pPr>
              <w:rPr>
                <w:b/>
                <w:sz w:val="20"/>
                <w:szCs w:val="20"/>
              </w:rPr>
            </w:pPr>
            <w:r w:rsidRPr="00E73CF5">
              <w:rPr>
                <w:b/>
                <w:sz w:val="20"/>
                <w:szCs w:val="20"/>
              </w:rPr>
              <w:t>j. SDG reporting</w:t>
            </w:r>
          </w:p>
        </w:tc>
        <w:tc>
          <w:tcPr>
            <w:tcW w:w="1134" w:type="dxa"/>
          </w:tcPr>
          <w:p w14:paraId="7E06CB28" w14:textId="77777777" w:rsidR="00BA5F36" w:rsidRPr="00E73CF5" w:rsidRDefault="00BA5F36" w:rsidP="00BA5F36">
            <w:pPr>
              <w:jc w:val="center"/>
              <w:rPr>
                <w:sz w:val="20"/>
                <w:szCs w:val="20"/>
              </w:rPr>
            </w:pPr>
          </w:p>
        </w:tc>
        <w:tc>
          <w:tcPr>
            <w:tcW w:w="12049" w:type="dxa"/>
          </w:tcPr>
          <w:p w14:paraId="65ACB377" w14:textId="77777777" w:rsidR="00BA5F36" w:rsidRPr="00E73CF5" w:rsidRDefault="00BA5F36" w:rsidP="00BA5F36">
            <w:pPr>
              <w:rPr>
                <w:sz w:val="20"/>
                <w:szCs w:val="20"/>
              </w:rPr>
            </w:pPr>
          </w:p>
        </w:tc>
      </w:tr>
      <w:tr w:rsidR="00BA5F36" w:rsidRPr="00E73CF5" w14:paraId="5AF510BC" w14:textId="77777777" w:rsidTr="000A5230">
        <w:tc>
          <w:tcPr>
            <w:tcW w:w="1413" w:type="dxa"/>
          </w:tcPr>
          <w:p w14:paraId="2ED0F082" w14:textId="77777777" w:rsidR="00BA5F36" w:rsidRPr="00E73CF5" w:rsidRDefault="00BA5F36" w:rsidP="00BA5F36">
            <w:pPr>
              <w:rPr>
                <w:b/>
                <w:sz w:val="20"/>
                <w:szCs w:val="20"/>
              </w:rPr>
            </w:pPr>
          </w:p>
        </w:tc>
        <w:tc>
          <w:tcPr>
            <w:tcW w:w="1134" w:type="dxa"/>
          </w:tcPr>
          <w:p w14:paraId="14FE9818" w14:textId="77777777" w:rsidR="00BA5F36" w:rsidRDefault="00BA5F36" w:rsidP="00BA5F36">
            <w:pPr>
              <w:jc w:val="center"/>
              <w:rPr>
                <w:sz w:val="20"/>
                <w:szCs w:val="20"/>
              </w:rPr>
            </w:pPr>
            <w:r>
              <w:rPr>
                <w:sz w:val="20"/>
                <w:szCs w:val="20"/>
              </w:rPr>
              <w:t>Brazil</w:t>
            </w:r>
          </w:p>
          <w:p w14:paraId="20A78358" w14:textId="015A6F70" w:rsidR="00BA5F36" w:rsidRPr="00E73CF5" w:rsidRDefault="00BA5F36" w:rsidP="00BA5F36">
            <w:pPr>
              <w:jc w:val="center"/>
              <w:rPr>
                <w:sz w:val="20"/>
                <w:szCs w:val="20"/>
              </w:rPr>
            </w:pPr>
          </w:p>
        </w:tc>
        <w:tc>
          <w:tcPr>
            <w:tcW w:w="12049" w:type="dxa"/>
          </w:tcPr>
          <w:p w14:paraId="556691D2" w14:textId="56F492F6" w:rsidR="00BA5F36" w:rsidRPr="00E73CF5" w:rsidRDefault="00BA5F36" w:rsidP="00BA5F36">
            <w:pPr>
              <w:rPr>
                <w:sz w:val="20"/>
                <w:szCs w:val="20"/>
              </w:rPr>
            </w:pPr>
            <w:r w:rsidRPr="00244BDD">
              <w:rPr>
                <w:sz w:val="20"/>
                <w:szCs w:val="20"/>
              </w:rPr>
              <w:t>14</w:t>
            </w:r>
            <w:r w:rsidR="00110B58">
              <w:rPr>
                <w:sz w:val="20"/>
                <w:szCs w:val="20"/>
              </w:rPr>
              <w:t>)</w:t>
            </w:r>
            <w:r w:rsidRPr="00244BDD">
              <w:rPr>
                <w:sz w:val="20"/>
                <w:szCs w:val="20"/>
              </w:rPr>
              <w:t xml:space="preserve"> Social Participation in Federal Government’s Planning Cycle (Ministry of Planning)</w:t>
            </w:r>
            <w:r>
              <w:rPr>
                <w:sz w:val="20"/>
                <w:szCs w:val="20"/>
              </w:rPr>
              <w:t xml:space="preserve">. </w:t>
            </w:r>
            <w:r w:rsidRPr="00244BDD">
              <w:rPr>
                <w:sz w:val="20"/>
                <w:szCs w:val="20"/>
              </w:rPr>
              <w:t>Enhancing digital tools for monitoring the implementation of The Plurennial Plan (PPA) (the main planning tool of the federal government) and the Sustainable Development Goals, and for monitoring the PPA through the Inter</w:t>
            </w:r>
            <w:r>
              <w:rPr>
                <w:sz w:val="20"/>
                <w:szCs w:val="20"/>
              </w:rPr>
              <w:t>-</w:t>
            </w:r>
            <w:r w:rsidRPr="00244BDD">
              <w:rPr>
                <w:sz w:val="20"/>
                <w:szCs w:val="20"/>
              </w:rPr>
              <w:t>council Forum and public feedback.</w:t>
            </w:r>
          </w:p>
        </w:tc>
      </w:tr>
      <w:tr w:rsidR="00BA5F36" w:rsidRPr="00E73CF5" w14:paraId="09380043" w14:textId="77777777" w:rsidTr="000A5230">
        <w:tc>
          <w:tcPr>
            <w:tcW w:w="1413" w:type="dxa"/>
          </w:tcPr>
          <w:p w14:paraId="6A246634" w14:textId="77777777" w:rsidR="00BA5F36" w:rsidRPr="00E73CF5" w:rsidRDefault="00BA5F36" w:rsidP="00BA5F36">
            <w:pPr>
              <w:rPr>
                <w:b/>
                <w:sz w:val="20"/>
                <w:szCs w:val="20"/>
              </w:rPr>
            </w:pPr>
          </w:p>
        </w:tc>
        <w:tc>
          <w:tcPr>
            <w:tcW w:w="1134" w:type="dxa"/>
          </w:tcPr>
          <w:p w14:paraId="1171B847" w14:textId="77777777" w:rsidR="00BA5F36" w:rsidRPr="00E73CF5" w:rsidRDefault="00BA5F36" w:rsidP="00BA5F36">
            <w:pPr>
              <w:jc w:val="center"/>
              <w:rPr>
                <w:sz w:val="20"/>
                <w:szCs w:val="20"/>
              </w:rPr>
            </w:pPr>
            <w:r w:rsidRPr="00E73CF5">
              <w:rPr>
                <w:sz w:val="20"/>
                <w:szCs w:val="20"/>
              </w:rPr>
              <w:t>USA</w:t>
            </w:r>
          </w:p>
          <w:p w14:paraId="52B73809" w14:textId="0571B9AA" w:rsidR="00BA5F36" w:rsidRPr="00E73CF5" w:rsidRDefault="00BA5F36" w:rsidP="00BA5F36">
            <w:pPr>
              <w:jc w:val="center"/>
              <w:rPr>
                <w:sz w:val="20"/>
                <w:szCs w:val="20"/>
              </w:rPr>
            </w:pPr>
          </w:p>
        </w:tc>
        <w:tc>
          <w:tcPr>
            <w:tcW w:w="12049" w:type="dxa"/>
          </w:tcPr>
          <w:p w14:paraId="59ED8C9B" w14:textId="77777777" w:rsidR="00BA5F36" w:rsidRPr="00E73CF5" w:rsidRDefault="00BA5F36" w:rsidP="00BA5F36">
            <w:pPr>
              <w:rPr>
                <w:sz w:val="20"/>
                <w:szCs w:val="20"/>
              </w:rPr>
            </w:pPr>
            <w:r w:rsidRPr="00E73CF5">
              <w:rPr>
                <w:sz w:val="20"/>
                <w:szCs w:val="20"/>
              </w:rPr>
              <w:t>41) Continue to work alongside partner governments, private foundations, CSOs, private sector, and multilateral partners on next steps for the Global Partnership for Sustainable Development Data. Convene interagency stakeholders and consult with civil society to take stock of existing U.S. government data that relates to each of the 17 SDGs, propose strategy for tracking progress toward achieving the SDGs in the United States.</w:t>
            </w:r>
          </w:p>
        </w:tc>
      </w:tr>
      <w:tr w:rsidR="00BA5F36" w:rsidRPr="00E73CF5" w14:paraId="28376112" w14:textId="77777777" w:rsidTr="000A5230">
        <w:tc>
          <w:tcPr>
            <w:tcW w:w="1413" w:type="dxa"/>
          </w:tcPr>
          <w:p w14:paraId="446EB7AC" w14:textId="77777777" w:rsidR="00BA5F36" w:rsidRPr="00E73CF5" w:rsidRDefault="00BA5F36" w:rsidP="00BA5F36">
            <w:pPr>
              <w:rPr>
                <w:b/>
                <w:sz w:val="20"/>
                <w:szCs w:val="20"/>
              </w:rPr>
            </w:pPr>
            <w:r w:rsidRPr="00E73CF5">
              <w:rPr>
                <w:b/>
                <w:sz w:val="20"/>
                <w:szCs w:val="20"/>
              </w:rPr>
              <w:t>HLP 4: Outputs and outcomes</w:t>
            </w:r>
          </w:p>
          <w:p w14:paraId="66891733" w14:textId="77777777" w:rsidR="00BA5F36" w:rsidRPr="00E73CF5" w:rsidRDefault="00BA5F36" w:rsidP="00BA5F36">
            <w:pPr>
              <w:rPr>
                <w:b/>
                <w:sz w:val="20"/>
                <w:szCs w:val="20"/>
              </w:rPr>
            </w:pPr>
            <w:r w:rsidRPr="00E73CF5">
              <w:rPr>
                <w:b/>
                <w:sz w:val="20"/>
                <w:szCs w:val="20"/>
              </w:rPr>
              <w:t>a) Performance orientation</w:t>
            </w:r>
            <w:r w:rsidRPr="00E73CF5">
              <w:rPr>
                <w:b/>
                <w:sz w:val="20"/>
                <w:szCs w:val="20"/>
                <w:vertAlign w:val="superscript"/>
              </w:rPr>
              <w:footnoteReference w:id="9"/>
            </w:r>
          </w:p>
        </w:tc>
        <w:tc>
          <w:tcPr>
            <w:tcW w:w="1134" w:type="dxa"/>
          </w:tcPr>
          <w:p w14:paraId="344BF7F0" w14:textId="77777777" w:rsidR="00BA5F36" w:rsidRPr="00E73CF5" w:rsidRDefault="00BA5F36" w:rsidP="00BA5F36">
            <w:pPr>
              <w:jc w:val="center"/>
              <w:rPr>
                <w:sz w:val="20"/>
                <w:szCs w:val="20"/>
              </w:rPr>
            </w:pPr>
          </w:p>
        </w:tc>
        <w:tc>
          <w:tcPr>
            <w:tcW w:w="12049" w:type="dxa"/>
          </w:tcPr>
          <w:p w14:paraId="6173880E" w14:textId="77777777" w:rsidR="00BA5F36" w:rsidRPr="00E73CF5" w:rsidRDefault="00BA5F36" w:rsidP="00BA5F36">
            <w:pPr>
              <w:rPr>
                <w:sz w:val="20"/>
                <w:szCs w:val="20"/>
              </w:rPr>
            </w:pPr>
          </w:p>
        </w:tc>
      </w:tr>
      <w:tr w:rsidR="00533DCC" w:rsidRPr="00E73CF5" w14:paraId="15650F75" w14:textId="77777777" w:rsidTr="000A5230">
        <w:tc>
          <w:tcPr>
            <w:tcW w:w="1413" w:type="dxa"/>
          </w:tcPr>
          <w:p w14:paraId="6EDB37ED" w14:textId="77777777" w:rsidR="00533DCC" w:rsidRPr="00E73CF5" w:rsidRDefault="00533DCC" w:rsidP="00BA5F36">
            <w:pPr>
              <w:rPr>
                <w:sz w:val="20"/>
                <w:szCs w:val="20"/>
              </w:rPr>
            </w:pPr>
          </w:p>
        </w:tc>
        <w:tc>
          <w:tcPr>
            <w:tcW w:w="1134" w:type="dxa"/>
          </w:tcPr>
          <w:p w14:paraId="6AFD6A9E" w14:textId="4799B2DB" w:rsidR="00533DCC" w:rsidRDefault="00533DCC" w:rsidP="00BA5F36">
            <w:pPr>
              <w:jc w:val="center"/>
              <w:rPr>
                <w:sz w:val="20"/>
                <w:szCs w:val="20"/>
              </w:rPr>
            </w:pPr>
            <w:r>
              <w:rPr>
                <w:sz w:val="20"/>
                <w:szCs w:val="20"/>
              </w:rPr>
              <w:t>Argentina</w:t>
            </w:r>
          </w:p>
        </w:tc>
        <w:tc>
          <w:tcPr>
            <w:tcW w:w="12049" w:type="dxa"/>
          </w:tcPr>
          <w:p w14:paraId="16F0226B" w14:textId="082EFFA2" w:rsidR="00533DCC" w:rsidRPr="00533DCC" w:rsidRDefault="00533DCC" w:rsidP="00533DCC">
            <w:pPr>
              <w:rPr>
                <w:rFonts w:ascii="Calibri" w:eastAsia="Calibri" w:hAnsi="Calibri" w:cs="Times New Roman"/>
              </w:rPr>
            </w:pPr>
            <w:r w:rsidRPr="00533DCC">
              <w:rPr>
                <w:sz w:val="20"/>
                <w:szCs w:val="20"/>
              </w:rPr>
              <w:t>20) Citizen board of the priority projects of the Ministry of Modernization (</w:t>
            </w:r>
            <w:proofErr w:type="spellStart"/>
            <w:r w:rsidRPr="00533DCC">
              <w:rPr>
                <w:sz w:val="20"/>
                <w:szCs w:val="20"/>
              </w:rPr>
              <w:t>Undersecretariat</w:t>
            </w:r>
            <w:proofErr w:type="spellEnd"/>
            <w:r w:rsidRPr="00533DCC">
              <w:rPr>
                <w:sz w:val="20"/>
                <w:szCs w:val="20"/>
              </w:rPr>
              <w:t xml:space="preserve"> of Public Innovation and Open Government, Ministry of Modernization). Design and development of a pilot platform (Citizen Board) to publish periodic information on the priority projects of the Ministry of Modernization, including information on objectives, goals, indicators and priority milestones.</w:t>
            </w:r>
          </w:p>
        </w:tc>
      </w:tr>
      <w:tr w:rsidR="00BA5F36" w:rsidRPr="00E73CF5" w14:paraId="66C2C150" w14:textId="77777777" w:rsidTr="000A5230">
        <w:tc>
          <w:tcPr>
            <w:tcW w:w="1413" w:type="dxa"/>
          </w:tcPr>
          <w:p w14:paraId="6F93BD2A" w14:textId="77777777" w:rsidR="00BA5F36" w:rsidRPr="00E73CF5" w:rsidRDefault="00BA5F36" w:rsidP="00BA5F36">
            <w:pPr>
              <w:rPr>
                <w:sz w:val="20"/>
                <w:szCs w:val="20"/>
              </w:rPr>
            </w:pPr>
          </w:p>
        </w:tc>
        <w:tc>
          <w:tcPr>
            <w:tcW w:w="1134" w:type="dxa"/>
          </w:tcPr>
          <w:p w14:paraId="7A93B522" w14:textId="77777777" w:rsidR="00BA5F36" w:rsidRDefault="00BA5F36" w:rsidP="00BA5F36">
            <w:pPr>
              <w:jc w:val="center"/>
              <w:rPr>
                <w:sz w:val="20"/>
                <w:szCs w:val="20"/>
              </w:rPr>
            </w:pPr>
            <w:r>
              <w:rPr>
                <w:sz w:val="20"/>
                <w:szCs w:val="20"/>
              </w:rPr>
              <w:t>Brazil</w:t>
            </w:r>
          </w:p>
          <w:p w14:paraId="11CCD4FE" w14:textId="76EC550B" w:rsidR="00BA5F36" w:rsidRPr="00E73CF5" w:rsidRDefault="00BA5F36" w:rsidP="00BA5F36">
            <w:pPr>
              <w:jc w:val="center"/>
              <w:rPr>
                <w:sz w:val="20"/>
                <w:szCs w:val="20"/>
              </w:rPr>
            </w:pPr>
          </w:p>
        </w:tc>
        <w:tc>
          <w:tcPr>
            <w:tcW w:w="12049" w:type="dxa"/>
          </w:tcPr>
          <w:p w14:paraId="35856201" w14:textId="79931B6D" w:rsidR="00BA5F36" w:rsidRPr="000E4350" w:rsidRDefault="00BA5F36" w:rsidP="00BA5F36">
            <w:pPr>
              <w:rPr>
                <w:sz w:val="20"/>
                <w:szCs w:val="20"/>
              </w:rPr>
            </w:pPr>
            <w:r w:rsidRPr="000E4350">
              <w:rPr>
                <w:sz w:val="20"/>
                <w:szCs w:val="20"/>
              </w:rPr>
              <w:t>10</w:t>
            </w:r>
            <w:r>
              <w:rPr>
                <w:sz w:val="20"/>
                <w:szCs w:val="20"/>
              </w:rPr>
              <w:t>)</w:t>
            </w:r>
            <w:r w:rsidRPr="000E4350">
              <w:rPr>
                <w:sz w:val="20"/>
                <w:szCs w:val="20"/>
              </w:rPr>
              <w:t xml:space="preserve"> Assessment and streamline of public services (Ministry of Planning)</w:t>
            </w:r>
            <w:r>
              <w:rPr>
                <w:sz w:val="20"/>
                <w:szCs w:val="20"/>
              </w:rPr>
              <w:t xml:space="preserve">. </w:t>
            </w:r>
            <w:r w:rsidRPr="000E4350">
              <w:rPr>
                <w:sz w:val="20"/>
                <w:szCs w:val="20"/>
              </w:rPr>
              <w:t>Find ways of disseminating information about public policies and services, whilst developing and enhancing methods and evaluation tools, fostering a more effective social participation</w:t>
            </w:r>
          </w:p>
          <w:p w14:paraId="7A13DAED" w14:textId="26788BAC" w:rsidR="00BA5F36" w:rsidRPr="00E73CF5" w:rsidRDefault="00BA5F36" w:rsidP="00BA5F36">
            <w:pPr>
              <w:rPr>
                <w:sz w:val="20"/>
                <w:szCs w:val="20"/>
              </w:rPr>
            </w:pPr>
            <w:r w:rsidRPr="000E4350">
              <w:rPr>
                <w:sz w:val="20"/>
                <w:szCs w:val="20"/>
              </w:rPr>
              <w:t xml:space="preserve">The commitment aimed to Find ways of disseminating information about public policies and services, whilst developing and enhancing methods and evaluation tools, fostering a more effective social participation, with the intent of facing two big problems: </w:t>
            </w:r>
            <w:proofErr w:type="spellStart"/>
            <w:r w:rsidRPr="000E4350">
              <w:rPr>
                <w:sz w:val="20"/>
                <w:szCs w:val="20"/>
              </w:rPr>
              <w:t>i</w:t>
            </w:r>
            <w:proofErr w:type="spellEnd"/>
            <w:r w:rsidRPr="000E4350">
              <w:rPr>
                <w:sz w:val="20"/>
                <w:szCs w:val="20"/>
              </w:rPr>
              <w:t>) disarticulation between government and civil society; ii) neediness of information by citizens.</w:t>
            </w:r>
          </w:p>
        </w:tc>
      </w:tr>
      <w:tr w:rsidR="00533DCC" w:rsidRPr="00E73CF5" w14:paraId="1AD26519" w14:textId="77777777" w:rsidTr="000A5230">
        <w:tc>
          <w:tcPr>
            <w:tcW w:w="1413" w:type="dxa"/>
          </w:tcPr>
          <w:p w14:paraId="6E7D1BA3" w14:textId="77777777" w:rsidR="00533DCC" w:rsidRPr="00E73CF5" w:rsidRDefault="00533DCC" w:rsidP="00533DCC">
            <w:pPr>
              <w:rPr>
                <w:sz w:val="20"/>
                <w:szCs w:val="20"/>
              </w:rPr>
            </w:pPr>
          </w:p>
        </w:tc>
        <w:tc>
          <w:tcPr>
            <w:tcW w:w="1134" w:type="dxa"/>
          </w:tcPr>
          <w:p w14:paraId="509A3346" w14:textId="2F9325C8" w:rsidR="00533DCC" w:rsidRDefault="00533DCC" w:rsidP="00533DCC">
            <w:pPr>
              <w:jc w:val="center"/>
              <w:rPr>
                <w:sz w:val="20"/>
                <w:szCs w:val="20"/>
              </w:rPr>
            </w:pPr>
            <w:r>
              <w:rPr>
                <w:rFonts w:ascii="Calibri" w:eastAsia="Times New Roman" w:hAnsi="Calibri" w:cs="Times New Roman"/>
                <w:color w:val="000000"/>
                <w:sz w:val="20"/>
                <w:szCs w:val="20"/>
                <w:lang w:eastAsia="en-NZ"/>
              </w:rPr>
              <w:t>Chile</w:t>
            </w:r>
          </w:p>
        </w:tc>
        <w:tc>
          <w:tcPr>
            <w:tcW w:w="12049" w:type="dxa"/>
            <w:vAlign w:val="bottom"/>
          </w:tcPr>
          <w:p w14:paraId="46ADF665" w14:textId="3B1D3D21" w:rsidR="00533DCC" w:rsidRPr="00BA5F36" w:rsidRDefault="00533DCC" w:rsidP="00533DCC">
            <w:pPr>
              <w:rPr>
                <w:sz w:val="20"/>
                <w:szCs w:val="20"/>
              </w:rPr>
            </w:pPr>
            <w:r w:rsidRPr="00533DCC">
              <w:rPr>
                <w:rFonts w:ascii="Calibri" w:eastAsia="Times New Roman" w:hAnsi="Calibri" w:cs="Times New Roman"/>
                <w:color w:val="000000"/>
                <w:sz w:val="20"/>
                <w:szCs w:val="20"/>
                <w:lang w:eastAsia="en-NZ"/>
              </w:rPr>
              <w:t>4</w:t>
            </w:r>
            <w:r>
              <w:rPr>
                <w:rFonts w:ascii="Calibri" w:eastAsia="Times New Roman" w:hAnsi="Calibri" w:cs="Times New Roman"/>
                <w:color w:val="000000"/>
                <w:sz w:val="20"/>
                <w:szCs w:val="20"/>
                <w:lang w:eastAsia="en-NZ"/>
              </w:rPr>
              <w:t>)</w:t>
            </w:r>
            <w:r w:rsidRPr="00533DCC">
              <w:rPr>
                <w:rFonts w:ascii="Calibri" w:eastAsia="Times New Roman" w:hAnsi="Calibri" w:cs="Times New Roman"/>
                <w:color w:val="000000"/>
                <w:sz w:val="20"/>
                <w:szCs w:val="20"/>
                <w:lang w:eastAsia="en-NZ"/>
              </w:rPr>
              <w:t xml:space="preserve"> Transparency website on </w:t>
            </w:r>
            <w:proofErr w:type="spellStart"/>
            <w:r w:rsidRPr="00533DCC">
              <w:rPr>
                <w:rFonts w:ascii="Calibri" w:eastAsia="Times New Roman" w:hAnsi="Calibri" w:cs="Times New Roman"/>
                <w:color w:val="000000"/>
                <w:sz w:val="20"/>
                <w:szCs w:val="20"/>
                <w:lang w:eastAsia="en-NZ"/>
              </w:rPr>
              <w:t>Codelco</w:t>
            </w:r>
            <w:proofErr w:type="spellEnd"/>
            <w:r w:rsidRPr="00533DCC">
              <w:rPr>
                <w:rFonts w:ascii="Calibri" w:eastAsia="Times New Roman" w:hAnsi="Calibri" w:cs="Times New Roman"/>
                <w:color w:val="000000"/>
                <w:sz w:val="20"/>
                <w:szCs w:val="20"/>
                <w:lang w:eastAsia="en-NZ"/>
              </w:rPr>
              <w:t xml:space="preserve"> operations and impacts</w:t>
            </w:r>
            <w:r>
              <w:rPr>
                <w:rFonts w:ascii="Calibri" w:eastAsia="Times New Roman" w:hAnsi="Calibri" w:cs="Times New Roman"/>
                <w:color w:val="000000"/>
                <w:sz w:val="20"/>
                <w:szCs w:val="20"/>
                <w:lang w:eastAsia="en-NZ"/>
              </w:rPr>
              <w:t xml:space="preserve">. </w:t>
            </w:r>
            <w:proofErr w:type="spellStart"/>
            <w:r w:rsidRPr="00533DCC">
              <w:rPr>
                <w:rFonts w:ascii="Calibri" w:eastAsia="Times New Roman" w:hAnsi="Calibri" w:cs="Times New Roman"/>
                <w:color w:val="000000"/>
                <w:sz w:val="20"/>
                <w:szCs w:val="20"/>
                <w:lang w:eastAsia="en-NZ"/>
              </w:rPr>
              <w:t>Codelco</w:t>
            </w:r>
            <w:proofErr w:type="spellEnd"/>
            <w:r w:rsidRPr="00533DCC">
              <w:rPr>
                <w:rFonts w:ascii="Calibri" w:eastAsia="Times New Roman" w:hAnsi="Calibri" w:cs="Times New Roman"/>
                <w:color w:val="000000"/>
                <w:sz w:val="20"/>
                <w:szCs w:val="20"/>
                <w:lang w:eastAsia="en-NZ"/>
              </w:rPr>
              <w:t xml:space="preserve"> operations have an environmental, social, economic and political impact on citizens living in the surrounding areas of their operation </w:t>
            </w:r>
            <w:proofErr w:type="spellStart"/>
            <w:r w:rsidRPr="00533DCC">
              <w:rPr>
                <w:rFonts w:ascii="Calibri" w:eastAsia="Times New Roman" w:hAnsi="Calibri" w:cs="Times New Roman"/>
                <w:color w:val="000000"/>
                <w:sz w:val="20"/>
                <w:szCs w:val="20"/>
                <w:lang w:eastAsia="en-NZ"/>
              </w:rPr>
              <w:t>centers</w:t>
            </w:r>
            <w:proofErr w:type="spellEnd"/>
            <w:r w:rsidRPr="00533DCC">
              <w:rPr>
                <w:rFonts w:ascii="Calibri" w:eastAsia="Times New Roman" w:hAnsi="Calibri" w:cs="Times New Roman"/>
                <w:color w:val="000000"/>
                <w:sz w:val="20"/>
                <w:szCs w:val="20"/>
                <w:lang w:eastAsia="en-NZ"/>
              </w:rPr>
              <w:t xml:space="preserve">. This commitment aims to disseminate the possible effects of </w:t>
            </w:r>
            <w:proofErr w:type="spellStart"/>
            <w:r w:rsidRPr="00533DCC">
              <w:rPr>
                <w:rFonts w:ascii="Calibri" w:eastAsia="Times New Roman" w:hAnsi="Calibri" w:cs="Times New Roman"/>
                <w:color w:val="000000"/>
                <w:sz w:val="20"/>
                <w:szCs w:val="20"/>
                <w:lang w:eastAsia="en-NZ"/>
              </w:rPr>
              <w:t>Coldelco</w:t>
            </w:r>
            <w:proofErr w:type="spellEnd"/>
            <w:r w:rsidRPr="00533DCC">
              <w:rPr>
                <w:rFonts w:ascii="Calibri" w:eastAsia="Times New Roman" w:hAnsi="Calibri" w:cs="Times New Roman"/>
                <w:color w:val="000000"/>
                <w:sz w:val="20"/>
                <w:szCs w:val="20"/>
                <w:lang w:eastAsia="en-NZ"/>
              </w:rPr>
              <w:t xml:space="preserve"> activities, but it is necessary to promote real citizen influence in the areas of operation that affect them directly.</w:t>
            </w:r>
          </w:p>
        </w:tc>
      </w:tr>
      <w:tr w:rsidR="00533DCC" w:rsidRPr="00E73CF5" w14:paraId="59B86A35" w14:textId="77777777" w:rsidTr="000A5230">
        <w:tc>
          <w:tcPr>
            <w:tcW w:w="1413" w:type="dxa"/>
          </w:tcPr>
          <w:p w14:paraId="587F06C8" w14:textId="77777777" w:rsidR="00533DCC" w:rsidRPr="00E73CF5" w:rsidRDefault="00533DCC" w:rsidP="00533DCC">
            <w:pPr>
              <w:rPr>
                <w:sz w:val="20"/>
                <w:szCs w:val="20"/>
              </w:rPr>
            </w:pPr>
          </w:p>
        </w:tc>
        <w:tc>
          <w:tcPr>
            <w:tcW w:w="1134" w:type="dxa"/>
          </w:tcPr>
          <w:p w14:paraId="1C341601" w14:textId="75288863" w:rsidR="00533DCC" w:rsidRPr="00E73CF5" w:rsidRDefault="00533DCC" w:rsidP="00533DCC">
            <w:pPr>
              <w:jc w:val="center"/>
              <w:rPr>
                <w:sz w:val="20"/>
                <w:szCs w:val="20"/>
              </w:rPr>
            </w:pPr>
            <w:r>
              <w:rPr>
                <w:sz w:val="20"/>
                <w:szCs w:val="20"/>
              </w:rPr>
              <w:t>Croatia</w:t>
            </w:r>
          </w:p>
        </w:tc>
        <w:tc>
          <w:tcPr>
            <w:tcW w:w="12049" w:type="dxa"/>
          </w:tcPr>
          <w:p w14:paraId="153CD4B2" w14:textId="720CB997" w:rsidR="00533DCC" w:rsidRPr="00E73CF5" w:rsidRDefault="00533DCC" w:rsidP="00533DCC">
            <w:pPr>
              <w:rPr>
                <w:sz w:val="20"/>
                <w:szCs w:val="20"/>
              </w:rPr>
            </w:pPr>
            <w:r w:rsidRPr="00BA5F36">
              <w:rPr>
                <w:sz w:val="20"/>
                <w:szCs w:val="20"/>
              </w:rPr>
              <w:t>5</w:t>
            </w:r>
            <w:r>
              <w:rPr>
                <w:sz w:val="20"/>
                <w:szCs w:val="20"/>
              </w:rPr>
              <w:t>)</w:t>
            </w:r>
            <w:r w:rsidRPr="00BA5F36">
              <w:rPr>
                <w:sz w:val="20"/>
                <w:szCs w:val="20"/>
              </w:rPr>
              <w:t xml:space="preserve"> Improvements of Transparency and Efficiency in Public Administration Work (Ministry of Administration)</w:t>
            </w:r>
            <w:r>
              <w:rPr>
                <w:sz w:val="20"/>
                <w:szCs w:val="20"/>
              </w:rPr>
              <w:t xml:space="preserve">. </w:t>
            </w:r>
            <w:r w:rsidRPr="00BA5F36">
              <w:rPr>
                <w:sz w:val="20"/>
                <w:szCs w:val="20"/>
              </w:rPr>
              <w:t>5.3. Publish annual work plans and annual reports on the work of state administration bodies, with implementation indicators, clearly listed specific goals and activities associated with public policies and strategic goals in their competent, and planned resources for their implementation.</w:t>
            </w:r>
          </w:p>
        </w:tc>
      </w:tr>
      <w:tr w:rsidR="00533DCC" w:rsidRPr="00E73CF5" w14:paraId="6D879145" w14:textId="77777777" w:rsidTr="000A5230">
        <w:tc>
          <w:tcPr>
            <w:tcW w:w="1413" w:type="dxa"/>
          </w:tcPr>
          <w:p w14:paraId="1A41208C" w14:textId="77777777" w:rsidR="00533DCC" w:rsidRPr="00E73CF5" w:rsidRDefault="00533DCC" w:rsidP="00533DCC">
            <w:pPr>
              <w:rPr>
                <w:sz w:val="20"/>
                <w:szCs w:val="20"/>
              </w:rPr>
            </w:pPr>
          </w:p>
        </w:tc>
        <w:tc>
          <w:tcPr>
            <w:tcW w:w="1134" w:type="dxa"/>
          </w:tcPr>
          <w:p w14:paraId="4F8A5381" w14:textId="77777777" w:rsidR="00533DCC" w:rsidRPr="00E73CF5" w:rsidRDefault="00533DCC" w:rsidP="00533DCC">
            <w:pPr>
              <w:jc w:val="center"/>
              <w:rPr>
                <w:sz w:val="20"/>
                <w:szCs w:val="20"/>
              </w:rPr>
            </w:pPr>
            <w:r w:rsidRPr="00E73CF5">
              <w:rPr>
                <w:sz w:val="20"/>
                <w:szCs w:val="20"/>
              </w:rPr>
              <w:t>Guatemala</w:t>
            </w:r>
          </w:p>
          <w:p w14:paraId="08B261FF" w14:textId="63878BBA" w:rsidR="00533DCC" w:rsidRPr="00E73CF5" w:rsidRDefault="00533DCC" w:rsidP="00533DCC">
            <w:pPr>
              <w:jc w:val="center"/>
              <w:rPr>
                <w:sz w:val="20"/>
                <w:szCs w:val="20"/>
              </w:rPr>
            </w:pPr>
          </w:p>
        </w:tc>
        <w:tc>
          <w:tcPr>
            <w:tcW w:w="12049" w:type="dxa"/>
          </w:tcPr>
          <w:p w14:paraId="3E6616DA" w14:textId="77777777" w:rsidR="00533DCC" w:rsidRPr="00E73CF5" w:rsidRDefault="00533DCC" w:rsidP="00533DCC">
            <w:pPr>
              <w:rPr>
                <w:sz w:val="20"/>
                <w:szCs w:val="20"/>
              </w:rPr>
            </w:pPr>
            <w:r w:rsidRPr="00E73CF5">
              <w:rPr>
                <w:sz w:val="20"/>
                <w:szCs w:val="20"/>
              </w:rPr>
              <w:t xml:space="preserve">21) To strengthen primary health care following the prohibition of public sector entities from contracting with public resources through NGOs, a modality that allowed manipulation of resources in environment of impunity, opacity and corruption. To know the process of planning and implementation of primary health care emphasizing territorial ordering, resource gaps, financing and budget reorganization and human resource. </w:t>
            </w:r>
          </w:p>
        </w:tc>
      </w:tr>
      <w:tr w:rsidR="00533DCC" w:rsidRPr="00E73CF5" w14:paraId="3AAEC028" w14:textId="77777777" w:rsidTr="000A5230">
        <w:tc>
          <w:tcPr>
            <w:tcW w:w="1413" w:type="dxa"/>
          </w:tcPr>
          <w:p w14:paraId="04DCE960" w14:textId="77777777" w:rsidR="00533DCC" w:rsidRPr="00E73CF5" w:rsidRDefault="00533DCC" w:rsidP="00533DCC">
            <w:pPr>
              <w:rPr>
                <w:sz w:val="20"/>
                <w:szCs w:val="20"/>
              </w:rPr>
            </w:pPr>
          </w:p>
        </w:tc>
        <w:tc>
          <w:tcPr>
            <w:tcW w:w="1134" w:type="dxa"/>
          </w:tcPr>
          <w:p w14:paraId="1F8C9911" w14:textId="77777777" w:rsidR="00533DCC" w:rsidRDefault="00533DCC" w:rsidP="00533DCC">
            <w:pPr>
              <w:jc w:val="center"/>
              <w:rPr>
                <w:sz w:val="20"/>
                <w:szCs w:val="20"/>
              </w:rPr>
            </w:pPr>
            <w:r>
              <w:rPr>
                <w:sz w:val="20"/>
                <w:szCs w:val="20"/>
              </w:rPr>
              <w:t xml:space="preserve">Indonesia </w:t>
            </w:r>
          </w:p>
          <w:p w14:paraId="29F1AB2B" w14:textId="62083B68" w:rsidR="00533DCC" w:rsidRPr="00E73CF5" w:rsidRDefault="00533DCC" w:rsidP="00533DCC">
            <w:pPr>
              <w:jc w:val="center"/>
              <w:rPr>
                <w:sz w:val="20"/>
                <w:szCs w:val="20"/>
              </w:rPr>
            </w:pPr>
          </w:p>
        </w:tc>
        <w:tc>
          <w:tcPr>
            <w:tcW w:w="12049" w:type="dxa"/>
          </w:tcPr>
          <w:p w14:paraId="5CCA89F5" w14:textId="77777777" w:rsidR="00533DCC" w:rsidRPr="004D3DEC" w:rsidRDefault="00533DCC" w:rsidP="00533DCC">
            <w:pPr>
              <w:rPr>
                <w:sz w:val="20"/>
                <w:szCs w:val="20"/>
              </w:rPr>
            </w:pPr>
            <w:r w:rsidRPr="004D3DEC">
              <w:rPr>
                <w:sz w:val="20"/>
                <w:szCs w:val="20"/>
              </w:rPr>
              <w:t>27</w:t>
            </w:r>
            <w:r>
              <w:rPr>
                <w:sz w:val="20"/>
                <w:szCs w:val="20"/>
              </w:rPr>
              <w:t>)</w:t>
            </w:r>
            <w:r w:rsidRPr="004D3DEC">
              <w:rPr>
                <w:sz w:val="20"/>
                <w:szCs w:val="20"/>
              </w:rPr>
              <w:t xml:space="preserve"> Improved Public Services</w:t>
            </w:r>
          </w:p>
          <w:p w14:paraId="3740594D" w14:textId="1D568B04" w:rsidR="00533DCC" w:rsidRPr="00E73CF5" w:rsidRDefault="00533DCC" w:rsidP="00533DCC">
            <w:pPr>
              <w:rPr>
                <w:sz w:val="20"/>
                <w:szCs w:val="20"/>
              </w:rPr>
            </w:pPr>
            <w:r w:rsidRPr="004D3DEC">
              <w:rPr>
                <w:sz w:val="20"/>
                <w:szCs w:val="20"/>
              </w:rPr>
              <w:t>Publication of service standards of work units.</w:t>
            </w:r>
          </w:p>
        </w:tc>
      </w:tr>
      <w:tr w:rsidR="00533DCC" w:rsidRPr="00E73CF5" w14:paraId="2A3E58D5" w14:textId="77777777" w:rsidTr="000A5230">
        <w:tc>
          <w:tcPr>
            <w:tcW w:w="1413" w:type="dxa"/>
          </w:tcPr>
          <w:p w14:paraId="255B6A66" w14:textId="77777777" w:rsidR="00533DCC" w:rsidRPr="00E73CF5" w:rsidRDefault="00533DCC" w:rsidP="00533DCC">
            <w:pPr>
              <w:rPr>
                <w:sz w:val="20"/>
                <w:szCs w:val="20"/>
              </w:rPr>
            </w:pPr>
          </w:p>
        </w:tc>
        <w:tc>
          <w:tcPr>
            <w:tcW w:w="1134" w:type="dxa"/>
          </w:tcPr>
          <w:p w14:paraId="094DB8F0" w14:textId="5E0EAFD8" w:rsidR="00533DCC" w:rsidRPr="00E73CF5" w:rsidRDefault="00533DCC" w:rsidP="00EA7718">
            <w:pPr>
              <w:jc w:val="center"/>
              <w:rPr>
                <w:sz w:val="20"/>
                <w:szCs w:val="20"/>
              </w:rPr>
            </w:pPr>
            <w:r w:rsidRPr="00E73CF5">
              <w:rPr>
                <w:sz w:val="20"/>
                <w:szCs w:val="20"/>
              </w:rPr>
              <w:t>Uruguay</w:t>
            </w:r>
          </w:p>
        </w:tc>
        <w:tc>
          <w:tcPr>
            <w:tcW w:w="12049" w:type="dxa"/>
          </w:tcPr>
          <w:p w14:paraId="05BC776E" w14:textId="77777777" w:rsidR="00533DCC" w:rsidRPr="00E73CF5" w:rsidRDefault="00533DCC" w:rsidP="00533DCC">
            <w:pPr>
              <w:rPr>
                <w:sz w:val="20"/>
                <w:szCs w:val="20"/>
              </w:rPr>
            </w:pPr>
            <w:r w:rsidRPr="00E73CF5">
              <w:rPr>
                <w:sz w:val="20"/>
                <w:szCs w:val="20"/>
              </w:rPr>
              <w:t xml:space="preserve"> 7) Development of a set of indicators, processes and results for monitoring implementation of National Health Objectives.</w:t>
            </w:r>
          </w:p>
        </w:tc>
      </w:tr>
      <w:tr w:rsidR="00533DCC" w:rsidRPr="00E73CF5" w14:paraId="643B03B3" w14:textId="77777777" w:rsidTr="000A5230">
        <w:tc>
          <w:tcPr>
            <w:tcW w:w="1413" w:type="dxa"/>
          </w:tcPr>
          <w:p w14:paraId="743AD28B" w14:textId="77777777" w:rsidR="00533DCC" w:rsidRPr="00E73CF5" w:rsidRDefault="00533DCC" w:rsidP="00533DCC">
            <w:pPr>
              <w:rPr>
                <w:sz w:val="20"/>
                <w:szCs w:val="20"/>
              </w:rPr>
            </w:pPr>
          </w:p>
        </w:tc>
        <w:tc>
          <w:tcPr>
            <w:tcW w:w="1134" w:type="dxa"/>
          </w:tcPr>
          <w:p w14:paraId="0FAC1988" w14:textId="747CD08D" w:rsidR="00533DCC" w:rsidRPr="00E73CF5" w:rsidRDefault="00533DCC" w:rsidP="00EA7718">
            <w:pPr>
              <w:jc w:val="center"/>
              <w:rPr>
                <w:sz w:val="20"/>
                <w:szCs w:val="20"/>
              </w:rPr>
            </w:pPr>
            <w:r>
              <w:rPr>
                <w:sz w:val="20"/>
                <w:szCs w:val="20"/>
              </w:rPr>
              <w:t xml:space="preserve">USA </w:t>
            </w:r>
          </w:p>
        </w:tc>
        <w:tc>
          <w:tcPr>
            <w:tcW w:w="12049" w:type="dxa"/>
          </w:tcPr>
          <w:p w14:paraId="191473E8" w14:textId="1ADFE5D7" w:rsidR="00533DCC" w:rsidRPr="000D7814" w:rsidRDefault="00533DCC" w:rsidP="00533DCC">
            <w:pPr>
              <w:rPr>
                <w:sz w:val="20"/>
                <w:szCs w:val="20"/>
              </w:rPr>
            </w:pPr>
            <w:r w:rsidRPr="000D7814">
              <w:rPr>
                <w:sz w:val="20"/>
                <w:szCs w:val="20"/>
              </w:rPr>
              <w:t>10</w:t>
            </w:r>
            <w:r w:rsidR="00110B58">
              <w:rPr>
                <w:sz w:val="20"/>
                <w:szCs w:val="20"/>
              </w:rPr>
              <w:t>)</w:t>
            </w:r>
            <w:r w:rsidRPr="000D7814">
              <w:rPr>
                <w:sz w:val="20"/>
                <w:szCs w:val="20"/>
              </w:rPr>
              <w:t xml:space="preserve"> Using evidence and concrete data to improve public service delivery (General Services Administration).</w:t>
            </w:r>
          </w:p>
          <w:p w14:paraId="585C33C5" w14:textId="73599E51" w:rsidR="00533DCC" w:rsidRPr="00E73CF5" w:rsidRDefault="00533DCC" w:rsidP="00533DCC">
            <w:pPr>
              <w:rPr>
                <w:sz w:val="20"/>
                <w:szCs w:val="20"/>
              </w:rPr>
            </w:pPr>
            <w:r w:rsidRPr="000D7814">
              <w:rPr>
                <w:sz w:val="20"/>
                <w:szCs w:val="20"/>
              </w:rPr>
              <w:t>In July 2015, the Administration launched an interagency evidence-based policymaking group to promote more effective government service delivery and better results for families and communities in need.</w:t>
            </w:r>
          </w:p>
        </w:tc>
      </w:tr>
      <w:tr w:rsidR="00533DCC" w:rsidRPr="00E73CF5" w14:paraId="2192338D" w14:textId="77777777" w:rsidTr="000A5230">
        <w:tc>
          <w:tcPr>
            <w:tcW w:w="1413" w:type="dxa"/>
          </w:tcPr>
          <w:p w14:paraId="34E29AC0" w14:textId="77777777" w:rsidR="00533DCC" w:rsidRPr="00E73CF5" w:rsidRDefault="00533DCC" w:rsidP="00533DCC">
            <w:pPr>
              <w:rPr>
                <w:b/>
                <w:sz w:val="20"/>
                <w:szCs w:val="20"/>
              </w:rPr>
            </w:pPr>
            <w:r w:rsidRPr="00E73CF5">
              <w:rPr>
                <w:b/>
                <w:sz w:val="20"/>
                <w:szCs w:val="20"/>
              </w:rPr>
              <w:t xml:space="preserve">HLP 4: </w:t>
            </w:r>
          </w:p>
          <w:p w14:paraId="74579A81" w14:textId="77777777" w:rsidR="00533DCC" w:rsidRPr="00E73CF5" w:rsidRDefault="00533DCC" w:rsidP="00533DCC">
            <w:pPr>
              <w:rPr>
                <w:sz w:val="20"/>
                <w:szCs w:val="20"/>
              </w:rPr>
            </w:pPr>
            <w:r w:rsidRPr="00E73CF5">
              <w:rPr>
                <w:b/>
                <w:sz w:val="20"/>
                <w:szCs w:val="20"/>
              </w:rPr>
              <w:t>b) Public services – recipient monitoring and feedback</w:t>
            </w:r>
          </w:p>
        </w:tc>
        <w:tc>
          <w:tcPr>
            <w:tcW w:w="1134" w:type="dxa"/>
          </w:tcPr>
          <w:p w14:paraId="5FCF3023" w14:textId="77777777" w:rsidR="00533DCC" w:rsidRPr="00E73CF5" w:rsidRDefault="00533DCC" w:rsidP="00533DCC">
            <w:pPr>
              <w:jc w:val="center"/>
              <w:rPr>
                <w:sz w:val="20"/>
                <w:szCs w:val="20"/>
              </w:rPr>
            </w:pPr>
          </w:p>
        </w:tc>
        <w:tc>
          <w:tcPr>
            <w:tcW w:w="12049" w:type="dxa"/>
          </w:tcPr>
          <w:p w14:paraId="2A76907F" w14:textId="77777777" w:rsidR="00533DCC" w:rsidRPr="00E73CF5" w:rsidRDefault="00533DCC" w:rsidP="00533DCC">
            <w:pPr>
              <w:rPr>
                <w:sz w:val="20"/>
                <w:szCs w:val="20"/>
              </w:rPr>
            </w:pPr>
          </w:p>
        </w:tc>
      </w:tr>
      <w:tr w:rsidR="00533DCC" w:rsidRPr="00E73CF5" w14:paraId="4B650EC7" w14:textId="77777777" w:rsidTr="000A5230">
        <w:tc>
          <w:tcPr>
            <w:tcW w:w="1413" w:type="dxa"/>
          </w:tcPr>
          <w:p w14:paraId="27636066" w14:textId="77777777" w:rsidR="00533DCC" w:rsidRPr="00E73CF5" w:rsidRDefault="00533DCC" w:rsidP="00533DCC">
            <w:pPr>
              <w:rPr>
                <w:sz w:val="20"/>
                <w:szCs w:val="20"/>
              </w:rPr>
            </w:pPr>
          </w:p>
        </w:tc>
        <w:tc>
          <w:tcPr>
            <w:tcW w:w="1134" w:type="dxa"/>
          </w:tcPr>
          <w:p w14:paraId="2A75F46F" w14:textId="52F59BC9" w:rsidR="00533DCC" w:rsidRPr="00E73CF5" w:rsidRDefault="00533DCC" w:rsidP="00533DCC">
            <w:pPr>
              <w:rPr>
                <w:sz w:val="20"/>
                <w:szCs w:val="20"/>
              </w:rPr>
            </w:pPr>
            <w:r>
              <w:rPr>
                <w:sz w:val="20"/>
                <w:szCs w:val="20"/>
              </w:rPr>
              <w:t>Argentina</w:t>
            </w:r>
          </w:p>
        </w:tc>
        <w:tc>
          <w:tcPr>
            <w:tcW w:w="12049" w:type="dxa"/>
          </w:tcPr>
          <w:p w14:paraId="0A2F15D4" w14:textId="1A6905C1" w:rsidR="00533DCC" w:rsidRPr="00E73CF5" w:rsidRDefault="00533DCC" w:rsidP="00533DCC">
            <w:pPr>
              <w:rPr>
                <w:sz w:val="20"/>
                <w:szCs w:val="20"/>
              </w:rPr>
            </w:pPr>
            <w:r w:rsidRPr="00533DCC">
              <w:rPr>
                <w:sz w:val="20"/>
                <w:szCs w:val="20"/>
              </w:rPr>
              <w:t>24) Promotion of linkage mechanisms with civil society in the audit cycle (National Auditor General)</w:t>
            </w:r>
            <w:r>
              <w:rPr>
                <w:sz w:val="20"/>
                <w:szCs w:val="20"/>
              </w:rPr>
              <w:t xml:space="preserve">. </w:t>
            </w:r>
            <w:r w:rsidRPr="00533DCC">
              <w:rPr>
                <w:sz w:val="20"/>
                <w:szCs w:val="20"/>
              </w:rPr>
              <w:t xml:space="preserve">Workshops and exchange activities will be carried out with civil society organizations and other interested parties to receive contributions in the audit design processes and to present the results thereof </w:t>
            </w:r>
            <w:proofErr w:type="gramStart"/>
            <w:r w:rsidRPr="00533DCC">
              <w:rPr>
                <w:sz w:val="20"/>
                <w:szCs w:val="20"/>
              </w:rPr>
              <w:t>in order to</w:t>
            </w:r>
            <w:proofErr w:type="gramEnd"/>
            <w:r w:rsidRPr="00533DCC">
              <w:rPr>
                <w:sz w:val="20"/>
                <w:szCs w:val="20"/>
              </w:rPr>
              <w:t xml:space="preserve"> improve the audit process.</w:t>
            </w:r>
          </w:p>
        </w:tc>
      </w:tr>
      <w:tr w:rsidR="0042315E" w:rsidRPr="00E73CF5" w14:paraId="1843C020" w14:textId="77777777" w:rsidTr="000A5230">
        <w:tc>
          <w:tcPr>
            <w:tcW w:w="1413" w:type="dxa"/>
          </w:tcPr>
          <w:p w14:paraId="07FA0821" w14:textId="77777777" w:rsidR="0042315E" w:rsidRPr="00E73CF5" w:rsidRDefault="0042315E" w:rsidP="00533DCC">
            <w:pPr>
              <w:rPr>
                <w:sz w:val="20"/>
                <w:szCs w:val="20"/>
              </w:rPr>
            </w:pPr>
          </w:p>
        </w:tc>
        <w:tc>
          <w:tcPr>
            <w:tcW w:w="1134" w:type="dxa"/>
          </w:tcPr>
          <w:p w14:paraId="1E168EF7" w14:textId="697250B4" w:rsidR="0042315E" w:rsidRPr="00E73CF5" w:rsidRDefault="0042315E" w:rsidP="00533DCC">
            <w:pPr>
              <w:jc w:val="center"/>
              <w:rPr>
                <w:sz w:val="20"/>
                <w:szCs w:val="20"/>
              </w:rPr>
            </w:pPr>
            <w:r>
              <w:rPr>
                <w:sz w:val="20"/>
                <w:szCs w:val="20"/>
              </w:rPr>
              <w:t>Colombia</w:t>
            </w:r>
          </w:p>
        </w:tc>
        <w:tc>
          <w:tcPr>
            <w:tcW w:w="12049" w:type="dxa"/>
          </w:tcPr>
          <w:p w14:paraId="62775D50" w14:textId="1A81220E" w:rsidR="0042315E" w:rsidRPr="00E73CF5" w:rsidRDefault="0042315E" w:rsidP="0042315E">
            <w:pPr>
              <w:rPr>
                <w:sz w:val="20"/>
                <w:szCs w:val="20"/>
              </w:rPr>
            </w:pPr>
            <w:r w:rsidRPr="0042315E">
              <w:rPr>
                <w:sz w:val="20"/>
                <w:szCs w:val="20"/>
              </w:rPr>
              <w:t>4</w:t>
            </w:r>
            <w:r w:rsidR="00110B58">
              <w:rPr>
                <w:sz w:val="20"/>
                <w:szCs w:val="20"/>
              </w:rPr>
              <w:t>)</w:t>
            </w:r>
            <w:r w:rsidRPr="0042315E">
              <w:rPr>
                <w:sz w:val="20"/>
                <w:szCs w:val="20"/>
              </w:rPr>
              <w:t xml:space="preserve"> Implement the Citizen Observatory as a tool to optimize citizen service (National Planning Department).</w:t>
            </w:r>
            <w:r>
              <w:rPr>
                <w:sz w:val="20"/>
                <w:szCs w:val="20"/>
              </w:rPr>
              <w:t xml:space="preserve"> </w:t>
            </w:r>
            <w:r w:rsidRPr="0042315E">
              <w:rPr>
                <w:sz w:val="20"/>
                <w:szCs w:val="20"/>
              </w:rPr>
              <w:t xml:space="preserve">The National Citizen Service Program (PNSC) is developing a Citizen Observatory that seeks to be a tool aimed at collecting, ordering, </w:t>
            </w:r>
            <w:proofErr w:type="spellStart"/>
            <w:r w:rsidRPr="0042315E">
              <w:rPr>
                <w:sz w:val="20"/>
                <w:szCs w:val="20"/>
              </w:rPr>
              <w:t>analyzing</w:t>
            </w:r>
            <w:proofErr w:type="spellEnd"/>
            <w:r w:rsidRPr="0042315E">
              <w:rPr>
                <w:sz w:val="20"/>
                <w:szCs w:val="20"/>
              </w:rPr>
              <w:t>, interpreting and disseminating information on the experience of citizens in relation to public services.</w:t>
            </w:r>
          </w:p>
        </w:tc>
      </w:tr>
      <w:tr w:rsidR="00533DCC" w:rsidRPr="00E73CF5" w14:paraId="326F1AB3" w14:textId="77777777" w:rsidTr="000A5230">
        <w:tc>
          <w:tcPr>
            <w:tcW w:w="1413" w:type="dxa"/>
          </w:tcPr>
          <w:p w14:paraId="00D072C8" w14:textId="77777777" w:rsidR="00533DCC" w:rsidRPr="00E73CF5" w:rsidRDefault="00533DCC" w:rsidP="00533DCC">
            <w:pPr>
              <w:rPr>
                <w:sz w:val="20"/>
                <w:szCs w:val="20"/>
              </w:rPr>
            </w:pPr>
          </w:p>
        </w:tc>
        <w:tc>
          <w:tcPr>
            <w:tcW w:w="1134" w:type="dxa"/>
          </w:tcPr>
          <w:p w14:paraId="57D00BDE" w14:textId="77777777" w:rsidR="00533DCC" w:rsidRPr="00E73CF5" w:rsidRDefault="00533DCC" w:rsidP="00533DCC">
            <w:pPr>
              <w:jc w:val="center"/>
              <w:rPr>
                <w:sz w:val="20"/>
                <w:szCs w:val="20"/>
              </w:rPr>
            </w:pPr>
            <w:r w:rsidRPr="00E73CF5">
              <w:rPr>
                <w:sz w:val="20"/>
                <w:szCs w:val="20"/>
              </w:rPr>
              <w:t>Colombia</w:t>
            </w:r>
          </w:p>
          <w:p w14:paraId="636419BE" w14:textId="6704285C" w:rsidR="00533DCC" w:rsidRPr="00E73CF5" w:rsidRDefault="00533DCC" w:rsidP="00533DCC">
            <w:pPr>
              <w:jc w:val="center"/>
              <w:rPr>
                <w:sz w:val="20"/>
                <w:szCs w:val="20"/>
              </w:rPr>
            </w:pPr>
          </w:p>
        </w:tc>
        <w:tc>
          <w:tcPr>
            <w:tcW w:w="12049" w:type="dxa"/>
          </w:tcPr>
          <w:p w14:paraId="123C6804" w14:textId="77777777" w:rsidR="00533DCC" w:rsidRPr="00E73CF5" w:rsidRDefault="00533DCC" w:rsidP="00533DCC">
            <w:pPr>
              <w:rPr>
                <w:sz w:val="20"/>
                <w:szCs w:val="20"/>
              </w:rPr>
            </w:pPr>
            <w:r w:rsidRPr="00E73CF5">
              <w:rPr>
                <w:sz w:val="20"/>
                <w:szCs w:val="20"/>
              </w:rPr>
              <w:t>18) A participatory evaluation of the Public Policy on Gender Equality (</w:t>
            </w:r>
            <w:proofErr w:type="spellStart"/>
            <w:r w:rsidRPr="00E73CF5">
              <w:rPr>
                <w:sz w:val="20"/>
                <w:szCs w:val="20"/>
              </w:rPr>
              <w:t>Conpes</w:t>
            </w:r>
            <w:proofErr w:type="spellEnd"/>
            <w:r w:rsidRPr="00E73CF5">
              <w:rPr>
                <w:sz w:val="20"/>
                <w:szCs w:val="20"/>
              </w:rPr>
              <w:t xml:space="preserve"> 161/13) will be designed, its actions, goals and Budgets, and will be harmonized according to the National Development Plan 2014-2018. </w:t>
            </w:r>
          </w:p>
        </w:tc>
      </w:tr>
      <w:tr w:rsidR="0042315E" w:rsidRPr="00E73CF5" w14:paraId="6E589EA9" w14:textId="77777777" w:rsidTr="000A5230">
        <w:tc>
          <w:tcPr>
            <w:tcW w:w="1413" w:type="dxa"/>
          </w:tcPr>
          <w:p w14:paraId="7ED22D9C" w14:textId="77777777" w:rsidR="0042315E" w:rsidRPr="00E73CF5" w:rsidRDefault="0042315E" w:rsidP="00533DCC">
            <w:pPr>
              <w:rPr>
                <w:sz w:val="20"/>
                <w:szCs w:val="20"/>
              </w:rPr>
            </w:pPr>
          </w:p>
        </w:tc>
        <w:tc>
          <w:tcPr>
            <w:tcW w:w="1134" w:type="dxa"/>
          </w:tcPr>
          <w:p w14:paraId="26160E75" w14:textId="77777777" w:rsidR="0042315E" w:rsidRDefault="0042315E" w:rsidP="00533DCC">
            <w:pPr>
              <w:jc w:val="center"/>
              <w:rPr>
                <w:sz w:val="20"/>
                <w:szCs w:val="20"/>
              </w:rPr>
            </w:pPr>
            <w:r>
              <w:rPr>
                <w:sz w:val="20"/>
                <w:szCs w:val="20"/>
              </w:rPr>
              <w:t xml:space="preserve">Colombia </w:t>
            </w:r>
          </w:p>
          <w:p w14:paraId="602CB7B3" w14:textId="258D30E2" w:rsidR="0042315E" w:rsidRPr="00E73CF5" w:rsidRDefault="0042315E" w:rsidP="00533DCC">
            <w:pPr>
              <w:jc w:val="center"/>
              <w:rPr>
                <w:sz w:val="20"/>
                <w:szCs w:val="20"/>
              </w:rPr>
            </w:pPr>
          </w:p>
        </w:tc>
        <w:tc>
          <w:tcPr>
            <w:tcW w:w="12049" w:type="dxa"/>
          </w:tcPr>
          <w:p w14:paraId="2E903BF3" w14:textId="13C09619" w:rsidR="0042315E" w:rsidRPr="00E73CF5" w:rsidRDefault="0042315E" w:rsidP="0042315E">
            <w:pPr>
              <w:rPr>
                <w:sz w:val="20"/>
                <w:szCs w:val="20"/>
              </w:rPr>
            </w:pPr>
            <w:r w:rsidRPr="0042315E">
              <w:rPr>
                <w:sz w:val="20"/>
                <w:szCs w:val="20"/>
              </w:rPr>
              <w:t>7</w:t>
            </w:r>
            <w:r>
              <w:rPr>
                <w:sz w:val="20"/>
                <w:szCs w:val="20"/>
              </w:rPr>
              <w:t>)</w:t>
            </w:r>
            <w:r w:rsidRPr="0042315E">
              <w:rPr>
                <w:sz w:val="20"/>
                <w:szCs w:val="20"/>
              </w:rPr>
              <w:t xml:space="preserve"> Social Control to the maintenance of third level roads (Secretary of Transparency of the Presidency of the Republic).</w:t>
            </w:r>
            <w:r>
              <w:rPr>
                <w:sz w:val="20"/>
                <w:szCs w:val="20"/>
              </w:rPr>
              <w:t xml:space="preserve"> </w:t>
            </w:r>
            <w:r w:rsidRPr="0042315E">
              <w:rPr>
                <w:sz w:val="20"/>
                <w:szCs w:val="20"/>
              </w:rPr>
              <w:t>Develop social control exercises so that communities can exercise vigilance, determine the pertinence of works carried out</w:t>
            </w:r>
            <w:r>
              <w:rPr>
                <w:sz w:val="20"/>
                <w:szCs w:val="20"/>
              </w:rPr>
              <w:t>,</w:t>
            </w:r>
            <w:r w:rsidRPr="0042315E">
              <w:rPr>
                <w:sz w:val="20"/>
                <w:szCs w:val="20"/>
              </w:rPr>
              <w:t xml:space="preserve"> request an effective rendering of accounts.</w:t>
            </w:r>
          </w:p>
        </w:tc>
      </w:tr>
      <w:tr w:rsidR="0042315E" w:rsidRPr="00E73CF5" w14:paraId="12B59075" w14:textId="77777777" w:rsidTr="000A5230">
        <w:tc>
          <w:tcPr>
            <w:tcW w:w="1413" w:type="dxa"/>
          </w:tcPr>
          <w:p w14:paraId="117722E9" w14:textId="77777777" w:rsidR="0042315E" w:rsidRPr="00E73CF5" w:rsidRDefault="0042315E" w:rsidP="00533DCC">
            <w:pPr>
              <w:rPr>
                <w:sz w:val="20"/>
                <w:szCs w:val="20"/>
              </w:rPr>
            </w:pPr>
          </w:p>
        </w:tc>
        <w:tc>
          <w:tcPr>
            <w:tcW w:w="1134" w:type="dxa"/>
          </w:tcPr>
          <w:p w14:paraId="4EE65293" w14:textId="77777777" w:rsidR="0042315E" w:rsidRDefault="0042315E" w:rsidP="00533DCC">
            <w:pPr>
              <w:jc w:val="center"/>
              <w:rPr>
                <w:sz w:val="20"/>
                <w:szCs w:val="20"/>
              </w:rPr>
            </w:pPr>
            <w:r>
              <w:rPr>
                <w:sz w:val="20"/>
                <w:szCs w:val="20"/>
              </w:rPr>
              <w:t>Colombia</w:t>
            </w:r>
          </w:p>
          <w:p w14:paraId="22830708" w14:textId="34991150" w:rsidR="0042315E" w:rsidRDefault="0042315E" w:rsidP="00533DCC">
            <w:pPr>
              <w:jc w:val="center"/>
              <w:rPr>
                <w:sz w:val="20"/>
                <w:szCs w:val="20"/>
              </w:rPr>
            </w:pPr>
          </w:p>
        </w:tc>
        <w:tc>
          <w:tcPr>
            <w:tcW w:w="12049" w:type="dxa"/>
          </w:tcPr>
          <w:p w14:paraId="17B19533" w14:textId="7C26FBA6" w:rsidR="0042315E" w:rsidRPr="0042315E" w:rsidRDefault="0042315E" w:rsidP="0042315E">
            <w:pPr>
              <w:rPr>
                <w:sz w:val="20"/>
                <w:szCs w:val="20"/>
              </w:rPr>
            </w:pPr>
            <w:r w:rsidRPr="0042315E">
              <w:rPr>
                <w:sz w:val="20"/>
                <w:szCs w:val="20"/>
              </w:rPr>
              <w:t>8</w:t>
            </w:r>
            <w:r>
              <w:rPr>
                <w:sz w:val="20"/>
                <w:szCs w:val="20"/>
              </w:rPr>
              <w:t>)</w:t>
            </w:r>
            <w:r w:rsidRPr="0042315E">
              <w:rPr>
                <w:sz w:val="20"/>
                <w:szCs w:val="20"/>
              </w:rPr>
              <w:t xml:space="preserve">  Implementation of the Integrated Information System for the Post-Conflict Peace Agreement (High Council for the Post-conflict)</w:t>
            </w:r>
            <w:r>
              <w:rPr>
                <w:sz w:val="20"/>
                <w:szCs w:val="20"/>
              </w:rPr>
              <w:t xml:space="preserve">. </w:t>
            </w:r>
            <w:r w:rsidRPr="0042315E">
              <w:rPr>
                <w:sz w:val="20"/>
                <w:szCs w:val="20"/>
              </w:rPr>
              <w:t>Introduce the Integrated Information System for the Post-Conflict and its Web Portal to allow a permanent dialogue with the citizens on projects of interest, enable citizens to upload documents and photos that demonstrate the progress or delay of the works, and answer requests.</w:t>
            </w:r>
          </w:p>
        </w:tc>
      </w:tr>
      <w:tr w:rsidR="00533DCC" w:rsidRPr="00E73CF5" w14:paraId="6196AE28" w14:textId="77777777" w:rsidTr="000A5230">
        <w:tc>
          <w:tcPr>
            <w:tcW w:w="1413" w:type="dxa"/>
          </w:tcPr>
          <w:p w14:paraId="6B60162C" w14:textId="77777777" w:rsidR="00533DCC" w:rsidRPr="00E73CF5" w:rsidRDefault="00533DCC" w:rsidP="00533DCC">
            <w:pPr>
              <w:rPr>
                <w:sz w:val="20"/>
                <w:szCs w:val="20"/>
              </w:rPr>
            </w:pPr>
          </w:p>
        </w:tc>
        <w:tc>
          <w:tcPr>
            <w:tcW w:w="1134" w:type="dxa"/>
          </w:tcPr>
          <w:p w14:paraId="603F8B52" w14:textId="6F3A0147" w:rsidR="00533DCC" w:rsidRPr="00E73CF5" w:rsidRDefault="00533DCC" w:rsidP="00533DCC">
            <w:pPr>
              <w:jc w:val="center"/>
              <w:rPr>
                <w:sz w:val="20"/>
                <w:szCs w:val="20"/>
              </w:rPr>
            </w:pPr>
            <w:r w:rsidRPr="00E73CF5">
              <w:rPr>
                <w:sz w:val="20"/>
                <w:szCs w:val="20"/>
              </w:rPr>
              <w:t xml:space="preserve">Dominican Republic </w:t>
            </w:r>
          </w:p>
        </w:tc>
        <w:tc>
          <w:tcPr>
            <w:tcW w:w="12049" w:type="dxa"/>
          </w:tcPr>
          <w:p w14:paraId="00D0B404" w14:textId="77777777" w:rsidR="00533DCC" w:rsidRPr="00E73CF5" w:rsidRDefault="00533DCC" w:rsidP="00533DCC">
            <w:pPr>
              <w:rPr>
                <w:sz w:val="20"/>
                <w:szCs w:val="20"/>
              </w:rPr>
            </w:pPr>
            <w:r w:rsidRPr="00E73CF5">
              <w:rPr>
                <w:sz w:val="20"/>
                <w:szCs w:val="20"/>
              </w:rPr>
              <w:t>9) Facilitate citizens through a mobile application, report pipe failures and waste water in their sector or locality in the city of Santo Domingo.</w:t>
            </w:r>
          </w:p>
        </w:tc>
      </w:tr>
      <w:tr w:rsidR="00533DCC" w:rsidRPr="00E73CF5" w14:paraId="4918C817" w14:textId="77777777" w:rsidTr="000A5230">
        <w:tc>
          <w:tcPr>
            <w:tcW w:w="1413" w:type="dxa"/>
          </w:tcPr>
          <w:p w14:paraId="73D132C9" w14:textId="77777777" w:rsidR="00533DCC" w:rsidRPr="00E73CF5" w:rsidRDefault="00533DCC" w:rsidP="00533DCC">
            <w:pPr>
              <w:rPr>
                <w:sz w:val="20"/>
                <w:szCs w:val="20"/>
              </w:rPr>
            </w:pPr>
          </w:p>
        </w:tc>
        <w:tc>
          <w:tcPr>
            <w:tcW w:w="1134" w:type="dxa"/>
          </w:tcPr>
          <w:p w14:paraId="54900D48" w14:textId="77777777" w:rsidR="00533DCC" w:rsidRDefault="00533DCC" w:rsidP="00533DCC">
            <w:pPr>
              <w:jc w:val="center"/>
              <w:rPr>
                <w:sz w:val="20"/>
                <w:szCs w:val="20"/>
              </w:rPr>
            </w:pPr>
            <w:r>
              <w:rPr>
                <w:sz w:val="20"/>
                <w:szCs w:val="20"/>
              </w:rPr>
              <w:t xml:space="preserve">El Salvador </w:t>
            </w:r>
          </w:p>
          <w:p w14:paraId="3B9647A7" w14:textId="1F4FEB1E" w:rsidR="00533DCC" w:rsidRPr="00E73CF5" w:rsidRDefault="00533DCC" w:rsidP="00533DCC">
            <w:pPr>
              <w:jc w:val="center"/>
              <w:rPr>
                <w:sz w:val="20"/>
                <w:szCs w:val="20"/>
              </w:rPr>
            </w:pPr>
          </w:p>
        </w:tc>
        <w:tc>
          <w:tcPr>
            <w:tcW w:w="12049" w:type="dxa"/>
          </w:tcPr>
          <w:p w14:paraId="2E950D14" w14:textId="6D54AFE2" w:rsidR="00533DCC" w:rsidRPr="00306AB4" w:rsidRDefault="00533DCC" w:rsidP="00533DCC">
            <w:pPr>
              <w:rPr>
                <w:sz w:val="20"/>
                <w:szCs w:val="20"/>
              </w:rPr>
            </w:pPr>
            <w:r w:rsidRPr="00306AB4">
              <w:rPr>
                <w:sz w:val="20"/>
                <w:szCs w:val="20"/>
              </w:rPr>
              <w:t>1</w:t>
            </w:r>
            <w:r w:rsidR="00110B58">
              <w:rPr>
                <w:sz w:val="20"/>
                <w:szCs w:val="20"/>
              </w:rPr>
              <w:t>)</w:t>
            </w:r>
            <w:r w:rsidRPr="00306AB4">
              <w:rPr>
                <w:sz w:val="20"/>
                <w:szCs w:val="20"/>
              </w:rPr>
              <w:t xml:space="preserve"> Participatory and transparent social policy (Technical and Planning Secretariat of the Presidency)</w:t>
            </w:r>
          </w:p>
          <w:p w14:paraId="0F479B2D" w14:textId="75E043A1" w:rsidR="00533DCC" w:rsidRPr="00E73CF5" w:rsidRDefault="00533DCC" w:rsidP="00533DCC">
            <w:pPr>
              <w:rPr>
                <w:sz w:val="20"/>
                <w:szCs w:val="20"/>
              </w:rPr>
            </w:pPr>
            <w:r w:rsidRPr="00306AB4">
              <w:rPr>
                <w:sz w:val="20"/>
                <w:szCs w:val="20"/>
              </w:rPr>
              <w:t xml:space="preserve">Increase the levels of transparency in the design, implementation, monitoring and evaluation of the different social programs that are executed as part of the Law of Development and Social Protection. </w:t>
            </w:r>
          </w:p>
        </w:tc>
      </w:tr>
      <w:tr w:rsidR="00533DCC" w:rsidRPr="00E73CF5" w14:paraId="7FAE16A9" w14:textId="77777777" w:rsidTr="000A5230">
        <w:tc>
          <w:tcPr>
            <w:tcW w:w="1413" w:type="dxa"/>
          </w:tcPr>
          <w:p w14:paraId="6CA410EB" w14:textId="77777777" w:rsidR="00533DCC" w:rsidRPr="00E73CF5" w:rsidRDefault="00533DCC" w:rsidP="00533DCC">
            <w:pPr>
              <w:rPr>
                <w:sz w:val="20"/>
                <w:szCs w:val="20"/>
              </w:rPr>
            </w:pPr>
          </w:p>
        </w:tc>
        <w:tc>
          <w:tcPr>
            <w:tcW w:w="1134" w:type="dxa"/>
          </w:tcPr>
          <w:p w14:paraId="6D29EB40" w14:textId="77777777" w:rsidR="00533DCC" w:rsidRPr="00E73CF5" w:rsidRDefault="00533DCC" w:rsidP="00533DCC">
            <w:pPr>
              <w:jc w:val="center"/>
              <w:rPr>
                <w:sz w:val="20"/>
                <w:szCs w:val="20"/>
              </w:rPr>
            </w:pPr>
            <w:r w:rsidRPr="00E73CF5">
              <w:rPr>
                <w:sz w:val="20"/>
                <w:szCs w:val="20"/>
              </w:rPr>
              <w:t>El Salvador</w:t>
            </w:r>
          </w:p>
          <w:p w14:paraId="7C32D508" w14:textId="64EC6743" w:rsidR="00533DCC" w:rsidRPr="00E73CF5" w:rsidRDefault="00533DCC" w:rsidP="00533DCC">
            <w:pPr>
              <w:jc w:val="center"/>
              <w:rPr>
                <w:sz w:val="20"/>
                <w:szCs w:val="20"/>
              </w:rPr>
            </w:pPr>
          </w:p>
        </w:tc>
        <w:tc>
          <w:tcPr>
            <w:tcW w:w="12049" w:type="dxa"/>
          </w:tcPr>
          <w:p w14:paraId="45238B91" w14:textId="77777777" w:rsidR="00533DCC" w:rsidRPr="00E73CF5" w:rsidRDefault="00533DCC" w:rsidP="00533DCC">
            <w:pPr>
              <w:rPr>
                <w:sz w:val="20"/>
                <w:szCs w:val="20"/>
              </w:rPr>
            </w:pPr>
            <w:r w:rsidRPr="00E73CF5">
              <w:rPr>
                <w:sz w:val="20"/>
                <w:szCs w:val="20"/>
              </w:rPr>
              <w:t xml:space="preserve">7) Public servants will respond to complaints, recommendations or requests concerning public services, within specific deadline and will have to justify their actions, especially when they deviate from current regulations. Use of ICT: The system will be multichannel. </w:t>
            </w:r>
          </w:p>
        </w:tc>
      </w:tr>
      <w:tr w:rsidR="00533DCC" w:rsidRPr="00E73CF5" w14:paraId="1057F048" w14:textId="77777777" w:rsidTr="000A5230">
        <w:tc>
          <w:tcPr>
            <w:tcW w:w="1413" w:type="dxa"/>
          </w:tcPr>
          <w:p w14:paraId="54A83B31" w14:textId="77777777" w:rsidR="00533DCC" w:rsidRPr="00E73CF5" w:rsidRDefault="00533DCC" w:rsidP="00533DCC">
            <w:pPr>
              <w:rPr>
                <w:sz w:val="20"/>
                <w:szCs w:val="20"/>
              </w:rPr>
            </w:pPr>
          </w:p>
        </w:tc>
        <w:tc>
          <w:tcPr>
            <w:tcW w:w="1134" w:type="dxa"/>
          </w:tcPr>
          <w:p w14:paraId="54F3B2EC" w14:textId="77777777" w:rsidR="00533DCC" w:rsidRPr="00E73CF5" w:rsidRDefault="00533DCC" w:rsidP="00533DCC">
            <w:pPr>
              <w:jc w:val="center"/>
              <w:rPr>
                <w:sz w:val="20"/>
                <w:szCs w:val="20"/>
              </w:rPr>
            </w:pPr>
            <w:r w:rsidRPr="00E73CF5">
              <w:rPr>
                <w:sz w:val="20"/>
                <w:szCs w:val="20"/>
              </w:rPr>
              <w:t>El Salvador</w:t>
            </w:r>
          </w:p>
          <w:p w14:paraId="2423E5B2" w14:textId="5C426069" w:rsidR="00533DCC" w:rsidRPr="00E73CF5" w:rsidRDefault="00533DCC" w:rsidP="00533DCC">
            <w:pPr>
              <w:jc w:val="center"/>
              <w:rPr>
                <w:sz w:val="20"/>
                <w:szCs w:val="20"/>
              </w:rPr>
            </w:pPr>
          </w:p>
        </w:tc>
        <w:tc>
          <w:tcPr>
            <w:tcW w:w="12049" w:type="dxa"/>
          </w:tcPr>
          <w:p w14:paraId="102FAEF7" w14:textId="77777777" w:rsidR="00533DCC" w:rsidRPr="00E73CF5" w:rsidRDefault="00533DCC" w:rsidP="00533DCC">
            <w:pPr>
              <w:rPr>
                <w:sz w:val="20"/>
                <w:szCs w:val="20"/>
              </w:rPr>
            </w:pPr>
            <w:r w:rsidRPr="00E73CF5">
              <w:rPr>
                <w:sz w:val="20"/>
                <w:szCs w:val="20"/>
              </w:rPr>
              <w:t xml:space="preserve">15) Transparency of basic education services through mechanisms for participation and monitoring of the actions of the Education Plan, which allow citizens to generate proposals for solutions to the needs of educational </w:t>
            </w:r>
            <w:proofErr w:type="spellStart"/>
            <w:r w:rsidRPr="00E73CF5">
              <w:rPr>
                <w:sz w:val="20"/>
                <w:szCs w:val="20"/>
              </w:rPr>
              <w:t>centers</w:t>
            </w:r>
            <w:proofErr w:type="spellEnd"/>
            <w:r w:rsidRPr="00E73CF5">
              <w:rPr>
                <w:sz w:val="20"/>
                <w:szCs w:val="20"/>
              </w:rPr>
              <w:t xml:space="preserve">, especially those in rural areas. To create a mechanism of social participation and control at the local and / or departmental level, which encourages the monitoring of education policies to improve the quality of public education services and develop proposals for solutions. Promote social control and access to public information concerning the budget and its implementation in the field of education at the national level, allocations made by department and municipalities to the Schools. All this will make accountability exercises much more participatory and not subject to the discretion of the Directors or members of the CDE. </w:t>
            </w:r>
          </w:p>
        </w:tc>
      </w:tr>
      <w:tr w:rsidR="00533DCC" w:rsidRPr="00E73CF5" w14:paraId="585C323C" w14:textId="77777777" w:rsidTr="000A5230">
        <w:tc>
          <w:tcPr>
            <w:tcW w:w="1413" w:type="dxa"/>
          </w:tcPr>
          <w:p w14:paraId="18A9B6A0" w14:textId="77777777" w:rsidR="00533DCC" w:rsidRPr="00E73CF5" w:rsidRDefault="00533DCC" w:rsidP="00533DCC">
            <w:pPr>
              <w:rPr>
                <w:sz w:val="20"/>
                <w:szCs w:val="20"/>
              </w:rPr>
            </w:pPr>
          </w:p>
        </w:tc>
        <w:tc>
          <w:tcPr>
            <w:tcW w:w="1134" w:type="dxa"/>
          </w:tcPr>
          <w:p w14:paraId="41CFE201" w14:textId="77777777" w:rsidR="00533DCC" w:rsidRPr="00E73CF5" w:rsidRDefault="00533DCC" w:rsidP="00533DCC">
            <w:pPr>
              <w:jc w:val="center"/>
              <w:rPr>
                <w:rFonts w:ascii="Calibri" w:eastAsia="Times New Roman" w:hAnsi="Calibri" w:cs="Times New Roman"/>
                <w:color w:val="000000"/>
                <w:sz w:val="20"/>
                <w:szCs w:val="20"/>
                <w:lang w:eastAsia="en-NZ"/>
              </w:rPr>
            </w:pPr>
            <w:r w:rsidRPr="00E73CF5">
              <w:rPr>
                <w:rFonts w:ascii="Calibri" w:eastAsia="Times New Roman" w:hAnsi="Calibri" w:cs="Times New Roman"/>
                <w:color w:val="000000"/>
                <w:sz w:val="20"/>
                <w:szCs w:val="20"/>
                <w:lang w:eastAsia="en-NZ"/>
              </w:rPr>
              <w:t>Guatemala</w:t>
            </w:r>
          </w:p>
          <w:p w14:paraId="5F1E1DF2" w14:textId="79798BA2" w:rsidR="00533DCC" w:rsidRPr="00E73CF5" w:rsidRDefault="00533DCC" w:rsidP="00533DCC">
            <w:pPr>
              <w:jc w:val="center"/>
              <w:rPr>
                <w:sz w:val="20"/>
                <w:szCs w:val="20"/>
              </w:rPr>
            </w:pPr>
          </w:p>
        </w:tc>
        <w:tc>
          <w:tcPr>
            <w:tcW w:w="12049" w:type="dxa"/>
            <w:vAlign w:val="bottom"/>
          </w:tcPr>
          <w:p w14:paraId="216FC819" w14:textId="77777777" w:rsidR="00533DCC" w:rsidRPr="00E73CF5" w:rsidRDefault="00533DCC" w:rsidP="00533DCC">
            <w:pPr>
              <w:rPr>
                <w:sz w:val="20"/>
                <w:szCs w:val="20"/>
              </w:rPr>
            </w:pPr>
            <w:r w:rsidRPr="00E73CF5">
              <w:rPr>
                <w:rFonts w:ascii="Calibri" w:eastAsia="Times New Roman" w:hAnsi="Calibri" w:cs="Times New Roman"/>
                <w:color w:val="000000"/>
                <w:sz w:val="20"/>
                <w:szCs w:val="20"/>
                <w:lang w:eastAsia="en-NZ"/>
              </w:rPr>
              <w:t xml:space="preserve">22) Promote citizen participation through the involvement of the educational community in follow-up to the reduction of school failure and the delivery of support programs, strengthening accountability and transparency. </w:t>
            </w:r>
          </w:p>
        </w:tc>
      </w:tr>
      <w:tr w:rsidR="00533DCC" w:rsidRPr="00E73CF5" w14:paraId="6D0F72B6" w14:textId="77777777" w:rsidTr="000A5230">
        <w:tc>
          <w:tcPr>
            <w:tcW w:w="1413" w:type="dxa"/>
          </w:tcPr>
          <w:p w14:paraId="0CD0B1EE" w14:textId="77777777" w:rsidR="00533DCC" w:rsidRPr="00E73CF5" w:rsidRDefault="00533DCC" w:rsidP="00533DCC">
            <w:pPr>
              <w:rPr>
                <w:sz w:val="20"/>
                <w:szCs w:val="20"/>
              </w:rPr>
            </w:pPr>
          </w:p>
        </w:tc>
        <w:tc>
          <w:tcPr>
            <w:tcW w:w="1134" w:type="dxa"/>
          </w:tcPr>
          <w:p w14:paraId="5C016062" w14:textId="501B753F" w:rsidR="00533DCC" w:rsidRPr="00E73CF5" w:rsidRDefault="00533DCC" w:rsidP="00EA7718">
            <w:pPr>
              <w:jc w:val="center"/>
              <w:rPr>
                <w:sz w:val="20"/>
                <w:szCs w:val="20"/>
              </w:rPr>
            </w:pPr>
            <w:r w:rsidRPr="00E73CF5">
              <w:rPr>
                <w:sz w:val="20"/>
                <w:szCs w:val="20"/>
              </w:rPr>
              <w:t>Paraguay</w:t>
            </w:r>
          </w:p>
        </w:tc>
        <w:tc>
          <w:tcPr>
            <w:tcW w:w="12049" w:type="dxa"/>
          </w:tcPr>
          <w:p w14:paraId="3BDB7475" w14:textId="77777777" w:rsidR="00533DCC" w:rsidRPr="00E73CF5" w:rsidRDefault="00533DCC" w:rsidP="00533DCC">
            <w:pPr>
              <w:rPr>
                <w:sz w:val="20"/>
                <w:szCs w:val="20"/>
              </w:rPr>
            </w:pPr>
            <w:r w:rsidRPr="00E73CF5">
              <w:rPr>
                <w:sz w:val="20"/>
                <w:szCs w:val="20"/>
              </w:rPr>
              <w:t>3) Creation of new systems of social monitoring of public services, complaints about services.</w:t>
            </w:r>
          </w:p>
        </w:tc>
      </w:tr>
      <w:tr w:rsidR="00533DCC" w:rsidRPr="00E73CF5" w14:paraId="4A8B7AFC" w14:textId="77777777" w:rsidTr="000A5230">
        <w:tc>
          <w:tcPr>
            <w:tcW w:w="1413" w:type="dxa"/>
          </w:tcPr>
          <w:p w14:paraId="04B09187" w14:textId="77777777" w:rsidR="00533DCC" w:rsidRPr="00E73CF5" w:rsidRDefault="00533DCC" w:rsidP="00533DCC">
            <w:pPr>
              <w:rPr>
                <w:sz w:val="20"/>
                <w:szCs w:val="20"/>
              </w:rPr>
            </w:pPr>
          </w:p>
        </w:tc>
        <w:tc>
          <w:tcPr>
            <w:tcW w:w="1134" w:type="dxa"/>
          </w:tcPr>
          <w:p w14:paraId="04CBA09E" w14:textId="77777777" w:rsidR="00533DCC" w:rsidRPr="00E73CF5" w:rsidRDefault="00533DCC" w:rsidP="00533DCC">
            <w:pPr>
              <w:jc w:val="center"/>
              <w:rPr>
                <w:sz w:val="20"/>
                <w:szCs w:val="20"/>
              </w:rPr>
            </w:pPr>
            <w:r w:rsidRPr="00E73CF5">
              <w:rPr>
                <w:sz w:val="20"/>
                <w:szCs w:val="20"/>
              </w:rPr>
              <w:t xml:space="preserve">Paraguay </w:t>
            </w:r>
          </w:p>
          <w:p w14:paraId="12DD8632" w14:textId="52CEC635" w:rsidR="00533DCC" w:rsidRPr="00E73CF5" w:rsidRDefault="00533DCC" w:rsidP="00533DCC">
            <w:pPr>
              <w:jc w:val="center"/>
              <w:rPr>
                <w:sz w:val="20"/>
                <w:szCs w:val="20"/>
              </w:rPr>
            </w:pPr>
          </w:p>
        </w:tc>
        <w:tc>
          <w:tcPr>
            <w:tcW w:w="12049" w:type="dxa"/>
          </w:tcPr>
          <w:p w14:paraId="5771F9DD" w14:textId="77777777" w:rsidR="00533DCC" w:rsidRPr="00E73CF5" w:rsidRDefault="00533DCC" w:rsidP="00533DCC">
            <w:pPr>
              <w:rPr>
                <w:sz w:val="20"/>
                <w:szCs w:val="20"/>
              </w:rPr>
            </w:pPr>
            <w:r w:rsidRPr="00E73CF5">
              <w:rPr>
                <w:sz w:val="20"/>
                <w:szCs w:val="20"/>
              </w:rPr>
              <w:t>7) To improve the quality of health services (MSPBS and IPS) through the involvement of citizens in the control of services and resources. Implement quality policy for health services, and open data and public information available for users and professionals.</w:t>
            </w:r>
          </w:p>
        </w:tc>
      </w:tr>
      <w:tr w:rsidR="00533DCC" w:rsidRPr="00E73CF5" w14:paraId="6239D552" w14:textId="77777777" w:rsidTr="000A5230">
        <w:tc>
          <w:tcPr>
            <w:tcW w:w="1413" w:type="dxa"/>
          </w:tcPr>
          <w:p w14:paraId="63F9FE5F" w14:textId="77777777" w:rsidR="00533DCC" w:rsidRPr="00E73CF5" w:rsidRDefault="00533DCC" w:rsidP="00533DCC">
            <w:pPr>
              <w:rPr>
                <w:sz w:val="20"/>
                <w:szCs w:val="20"/>
              </w:rPr>
            </w:pPr>
          </w:p>
        </w:tc>
        <w:tc>
          <w:tcPr>
            <w:tcW w:w="1134" w:type="dxa"/>
          </w:tcPr>
          <w:p w14:paraId="08A060C6" w14:textId="77777777" w:rsidR="00533DCC" w:rsidRPr="00E73CF5" w:rsidRDefault="00533DCC" w:rsidP="00533DCC">
            <w:pPr>
              <w:jc w:val="center"/>
              <w:rPr>
                <w:sz w:val="20"/>
                <w:szCs w:val="20"/>
              </w:rPr>
            </w:pPr>
            <w:r w:rsidRPr="00E73CF5">
              <w:rPr>
                <w:sz w:val="20"/>
                <w:szCs w:val="20"/>
              </w:rPr>
              <w:t>Paraguay</w:t>
            </w:r>
          </w:p>
          <w:p w14:paraId="0BAD52BE" w14:textId="6196D3FE" w:rsidR="00533DCC" w:rsidRPr="00E73CF5" w:rsidRDefault="00533DCC" w:rsidP="00533DCC">
            <w:pPr>
              <w:jc w:val="center"/>
              <w:rPr>
                <w:sz w:val="20"/>
                <w:szCs w:val="20"/>
              </w:rPr>
            </w:pPr>
          </w:p>
        </w:tc>
        <w:tc>
          <w:tcPr>
            <w:tcW w:w="12049" w:type="dxa"/>
          </w:tcPr>
          <w:p w14:paraId="134BE917" w14:textId="77777777" w:rsidR="00533DCC" w:rsidRPr="00E73CF5" w:rsidRDefault="00533DCC" w:rsidP="00533DCC">
            <w:pPr>
              <w:rPr>
                <w:sz w:val="20"/>
                <w:szCs w:val="20"/>
              </w:rPr>
            </w:pPr>
            <w:r w:rsidRPr="00E73CF5">
              <w:rPr>
                <w:sz w:val="20"/>
                <w:szCs w:val="20"/>
              </w:rPr>
              <w:t>8) Contribute to the participation and control of citizenship in school food services, the MEC, use of FONACIDE funds and on the offer of student scholarships, with monitoring tools and actions of diffusion and citizen empowerment.</w:t>
            </w:r>
          </w:p>
        </w:tc>
      </w:tr>
      <w:tr w:rsidR="00533DCC" w:rsidRPr="00E73CF5" w14:paraId="4783BF19" w14:textId="77777777" w:rsidTr="000A5230">
        <w:tc>
          <w:tcPr>
            <w:tcW w:w="1413" w:type="dxa"/>
          </w:tcPr>
          <w:p w14:paraId="5FB98CF2" w14:textId="77777777" w:rsidR="00533DCC" w:rsidRPr="00E73CF5" w:rsidRDefault="00533DCC" w:rsidP="00533DCC">
            <w:pPr>
              <w:rPr>
                <w:sz w:val="20"/>
                <w:szCs w:val="20"/>
              </w:rPr>
            </w:pPr>
          </w:p>
        </w:tc>
        <w:tc>
          <w:tcPr>
            <w:tcW w:w="1134" w:type="dxa"/>
          </w:tcPr>
          <w:p w14:paraId="6C60F7CD" w14:textId="77777777" w:rsidR="00533DCC" w:rsidRPr="00E73CF5" w:rsidRDefault="00533DCC" w:rsidP="00533DCC">
            <w:pPr>
              <w:jc w:val="center"/>
              <w:rPr>
                <w:sz w:val="20"/>
                <w:szCs w:val="20"/>
              </w:rPr>
            </w:pPr>
            <w:r w:rsidRPr="00E73CF5">
              <w:rPr>
                <w:sz w:val="20"/>
                <w:szCs w:val="20"/>
              </w:rPr>
              <w:t>Paraguay</w:t>
            </w:r>
          </w:p>
          <w:p w14:paraId="5F0F7625" w14:textId="724F90F6" w:rsidR="00533DCC" w:rsidRPr="00E73CF5" w:rsidRDefault="00533DCC" w:rsidP="00533DCC">
            <w:pPr>
              <w:jc w:val="center"/>
              <w:rPr>
                <w:sz w:val="20"/>
                <w:szCs w:val="20"/>
              </w:rPr>
            </w:pPr>
          </w:p>
        </w:tc>
        <w:tc>
          <w:tcPr>
            <w:tcW w:w="12049" w:type="dxa"/>
          </w:tcPr>
          <w:p w14:paraId="6F346140" w14:textId="77777777" w:rsidR="00533DCC" w:rsidRPr="00E73CF5" w:rsidRDefault="00533DCC" w:rsidP="00533DCC">
            <w:pPr>
              <w:rPr>
                <w:sz w:val="20"/>
                <w:szCs w:val="20"/>
              </w:rPr>
            </w:pPr>
            <w:r w:rsidRPr="00E73CF5">
              <w:rPr>
                <w:sz w:val="20"/>
                <w:szCs w:val="20"/>
              </w:rPr>
              <w:t xml:space="preserve">9) To develop citizen participation and control actions for a more transparent and socially auditable implementation for the following social programs: National Social Housing Fund - FONAVIS, </w:t>
            </w:r>
            <w:proofErr w:type="spellStart"/>
            <w:r w:rsidRPr="00E73CF5">
              <w:rPr>
                <w:sz w:val="20"/>
                <w:szCs w:val="20"/>
              </w:rPr>
              <w:t>Tekoporã</w:t>
            </w:r>
            <w:proofErr w:type="spellEnd"/>
            <w:r w:rsidRPr="00E73CF5">
              <w:rPr>
                <w:sz w:val="20"/>
                <w:szCs w:val="20"/>
              </w:rPr>
              <w:t>, Sustainable Rural Development Project - PRODERS; and to strengthen instances of mixed participation (National Country Strategy Team -ENEP, Private Public Council for Poverty Reduction).</w:t>
            </w:r>
          </w:p>
        </w:tc>
      </w:tr>
      <w:tr w:rsidR="00533DCC" w:rsidRPr="00E73CF5" w14:paraId="6CB076F5" w14:textId="77777777" w:rsidTr="000A5230">
        <w:tc>
          <w:tcPr>
            <w:tcW w:w="1413" w:type="dxa"/>
          </w:tcPr>
          <w:p w14:paraId="7E4B5AEC" w14:textId="77777777" w:rsidR="00533DCC" w:rsidRPr="00E73CF5" w:rsidRDefault="00533DCC" w:rsidP="00533DCC">
            <w:pPr>
              <w:rPr>
                <w:sz w:val="20"/>
                <w:szCs w:val="20"/>
              </w:rPr>
            </w:pPr>
          </w:p>
        </w:tc>
        <w:tc>
          <w:tcPr>
            <w:tcW w:w="1134" w:type="dxa"/>
          </w:tcPr>
          <w:p w14:paraId="36CE357E" w14:textId="77777777" w:rsidR="00533DCC" w:rsidRDefault="00533DCC" w:rsidP="00533DCC">
            <w:pPr>
              <w:jc w:val="center"/>
              <w:rPr>
                <w:sz w:val="20"/>
                <w:szCs w:val="20"/>
              </w:rPr>
            </w:pPr>
            <w:r>
              <w:rPr>
                <w:sz w:val="20"/>
                <w:szCs w:val="20"/>
              </w:rPr>
              <w:t xml:space="preserve">Philippines </w:t>
            </w:r>
          </w:p>
          <w:p w14:paraId="2BEC1D33" w14:textId="71791777" w:rsidR="00533DCC" w:rsidRPr="00E73CF5" w:rsidRDefault="00533DCC" w:rsidP="00533DCC">
            <w:pPr>
              <w:jc w:val="center"/>
              <w:rPr>
                <w:sz w:val="20"/>
                <w:szCs w:val="20"/>
              </w:rPr>
            </w:pPr>
          </w:p>
        </w:tc>
        <w:tc>
          <w:tcPr>
            <w:tcW w:w="12049" w:type="dxa"/>
          </w:tcPr>
          <w:p w14:paraId="2E8ABDB1" w14:textId="2507D727" w:rsidR="00533DCC" w:rsidRPr="00F1732D" w:rsidRDefault="00533DCC" w:rsidP="00533DCC">
            <w:pPr>
              <w:rPr>
                <w:sz w:val="20"/>
                <w:szCs w:val="20"/>
              </w:rPr>
            </w:pPr>
            <w:r w:rsidRPr="00F1732D">
              <w:rPr>
                <w:sz w:val="20"/>
                <w:szCs w:val="20"/>
              </w:rPr>
              <w:t>4</w:t>
            </w:r>
            <w:r>
              <w:rPr>
                <w:sz w:val="20"/>
                <w:szCs w:val="20"/>
              </w:rPr>
              <w:t>)</w:t>
            </w:r>
            <w:r w:rsidRPr="00F1732D">
              <w:rPr>
                <w:sz w:val="20"/>
                <w:szCs w:val="20"/>
              </w:rPr>
              <w:t xml:space="preserve"> Citizen Participatory Audit (Commission on Audit, and Senate of the Philippines).</w:t>
            </w:r>
          </w:p>
          <w:p w14:paraId="1C2904F9" w14:textId="3316B9F9" w:rsidR="00533DCC" w:rsidRPr="00E73CF5" w:rsidRDefault="00533DCC" w:rsidP="00533DCC">
            <w:pPr>
              <w:rPr>
                <w:sz w:val="20"/>
                <w:szCs w:val="20"/>
              </w:rPr>
            </w:pPr>
            <w:r w:rsidRPr="00F1732D">
              <w:rPr>
                <w:sz w:val="20"/>
                <w:szCs w:val="20"/>
              </w:rPr>
              <w:t>Expansion of the coverage of the CPA to include not only performance/compliance audit engagements and the related capacity building activities, but also in the following areas: 1. Validation of implementation of audit recommendations, both by COA and CSO representatives, and citizens of the community; 2. Conduct of CPA Dialogues to obtain citizen inputs for the COA’s Strategic Planning and Audit Planning.</w:t>
            </w:r>
          </w:p>
        </w:tc>
      </w:tr>
      <w:tr w:rsidR="00533DCC" w:rsidRPr="00E73CF5" w14:paraId="3F5A5024" w14:textId="77777777" w:rsidTr="000A5230">
        <w:tc>
          <w:tcPr>
            <w:tcW w:w="1413" w:type="dxa"/>
          </w:tcPr>
          <w:p w14:paraId="05A77D2A" w14:textId="77777777" w:rsidR="00533DCC" w:rsidRPr="00E73CF5" w:rsidRDefault="00533DCC" w:rsidP="00533DCC">
            <w:pPr>
              <w:rPr>
                <w:sz w:val="20"/>
                <w:szCs w:val="20"/>
              </w:rPr>
            </w:pPr>
          </w:p>
        </w:tc>
        <w:tc>
          <w:tcPr>
            <w:tcW w:w="1134" w:type="dxa"/>
          </w:tcPr>
          <w:p w14:paraId="0579674A" w14:textId="486DDA69" w:rsidR="00533DCC" w:rsidRDefault="00533DCC" w:rsidP="00EA7718">
            <w:pPr>
              <w:jc w:val="center"/>
              <w:rPr>
                <w:sz w:val="20"/>
                <w:szCs w:val="20"/>
              </w:rPr>
            </w:pPr>
            <w:r>
              <w:rPr>
                <w:sz w:val="20"/>
                <w:szCs w:val="20"/>
              </w:rPr>
              <w:t xml:space="preserve">Philippines </w:t>
            </w:r>
          </w:p>
        </w:tc>
        <w:tc>
          <w:tcPr>
            <w:tcW w:w="12049" w:type="dxa"/>
          </w:tcPr>
          <w:p w14:paraId="22517C9D" w14:textId="7176DCDF" w:rsidR="00533DCC" w:rsidRPr="00A54E54" w:rsidRDefault="00533DCC" w:rsidP="00533DCC">
            <w:pPr>
              <w:rPr>
                <w:sz w:val="20"/>
                <w:szCs w:val="20"/>
              </w:rPr>
            </w:pPr>
            <w:r w:rsidRPr="00A54E54">
              <w:rPr>
                <w:sz w:val="20"/>
                <w:szCs w:val="20"/>
              </w:rPr>
              <w:t>5</w:t>
            </w:r>
            <w:r>
              <w:rPr>
                <w:sz w:val="20"/>
                <w:szCs w:val="20"/>
              </w:rPr>
              <w:t>)</w:t>
            </w:r>
            <w:r w:rsidRPr="00A54E54">
              <w:rPr>
                <w:sz w:val="20"/>
                <w:szCs w:val="20"/>
              </w:rPr>
              <w:t xml:space="preserve">  8888 citizens’ complaint </w:t>
            </w:r>
            <w:proofErr w:type="spellStart"/>
            <w:r w:rsidRPr="00A54E54">
              <w:rPr>
                <w:sz w:val="20"/>
                <w:szCs w:val="20"/>
              </w:rPr>
              <w:t>center</w:t>
            </w:r>
            <w:proofErr w:type="spellEnd"/>
            <w:r w:rsidRPr="00A54E54">
              <w:rPr>
                <w:sz w:val="20"/>
                <w:szCs w:val="20"/>
              </w:rPr>
              <w:t xml:space="preserve"> (Office of the Cabinet Secretary)</w:t>
            </w:r>
          </w:p>
          <w:p w14:paraId="1D7C29BF" w14:textId="1FF86171" w:rsidR="00533DCC" w:rsidRPr="00F1732D" w:rsidRDefault="00533DCC" w:rsidP="00533DCC">
            <w:pPr>
              <w:rPr>
                <w:sz w:val="20"/>
                <w:szCs w:val="20"/>
              </w:rPr>
            </w:pPr>
            <w:r w:rsidRPr="00A54E54">
              <w:rPr>
                <w:sz w:val="20"/>
                <w:szCs w:val="20"/>
              </w:rPr>
              <w:lastRenderedPageBreak/>
              <w:t xml:space="preserve">The Complaints </w:t>
            </w:r>
            <w:proofErr w:type="spellStart"/>
            <w:r w:rsidRPr="00A54E54">
              <w:rPr>
                <w:sz w:val="20"/>
                <w:szCs w:val="20"/>
              </w:rPr>
              <w:t>Center</w:t>
            </w:r>
            <w:proofErr w:type="spellEnd"/>
            <w:r w:rsidRPr="00A54E54">
              <w:rPr>
                <w:sz w:val="20"/>
                <w:szCs w:val="20"/>
              </w:rPr>
              <w:t xml:space="preserve"> will provide different communication channels (24/7 hotline, email, text, website, social media, etc) </w:t>
            </w:r>
            <w:proofErr w:type="gramStart"/>
            <w:r w:rsidRPr="00A54E54">
              <w:rPr>
                <w:sz w:val="20"/>
                <w:szCs w:val="20"/>
              </w:rPr>
              <w:t>in order for</w:t>
            </w:r>
            <w:proofErr w:type="gramEnd"/>
            <w:r w:rsidRPr="00A54E54">
              <w:rPr>
                <w:sz w:val="20"/>
                <w:szCs w:val="20"/>
              </w:rPr>
              <w:t xml:space="preserve"> the public to directly inform the government of any bottlenecks in the delivery of services as well as the conduct of transactions.</w:t>
            </w:r>
          </w:p>
        </w:tc>
      </w:tr>
      <w:tr w:rsidR="00533DCC" w:rsidRPr="00E73CF5" w14:paraId="5B7849A4" w14:textId="77777777" w:rsidTr="000A5230">
        <w:tc>
          <w:tcPr>
            <w:tcW w:w="1413" w:type="dxa"/>
          </w:tcPr>
          <w:p w14:paraId="2446FCD2" w14:textId="77777777" w:rsidR="00533DCC" w:rsidRPr="00E73CF5" w:rsidRDefault="00533DCC" w:rsidP="00533DCC">
            <w:pPr>
              <w:rPr>
                <w:sz w:val="20"/>
                <w:szCs w:val="20"/>
              </w:rPr>
            </w:pPr>
          </w:p>
        </w:tc>
        <w:tc>
          <w:tcPr>
            <w:tcW w:w="1134" w:type="dxa"/>
          </w:tcPr>
          <w:p w14:paraId="525DDCDA" w14:textId="706F7185" w:rsidR="00533DCC" w:rsidRPr="00E73CF5" w:rsidRDefault="00533DCC" w:rsidP="00533DCC">
            <w:pPr>
              <w:jc w:val="center"/>
              <w:rPr>
                <w:sz w:val="20"/>
                <w:szCs w:val="20"/>
              </w:rPr>
            </w:pPr>
            <w:r>
              <w:rPr>
                <w:sz w:val="20"/>
                <w:szCs w:val="20"/>
              </w:rPr>
              <w:t>South Africa</w:t>
            </w:r>
          </w:p>
        </w:tc>
        <w:tc>
          <w:tcPr>
            <w:tcW w:w="12049" w:type="dxa"/>
          </w:tcPr>
          <w:p w14:paraId="3368CC6B" w14:textId="687CCBE3" w:rsidR="00533DCC" w:rsidRPr="00556BCB" w:rsidRDefault="00533DCC" w:rsidP="00533DCC">
            <w:pPr>
              <w:rPr>
                <w:sz w:val="20"/>
                <w:szCs w:val="20"/>
              </w:rPr>
            </w:pPr>
            <w:r>
              <w:rPr>
                <w:sz w:val="20"/>
                <w:szCs w:val="20"/>
              </w:rPr>
              <w:t>1)</w:t>
            </w:r>
            <w:r w:rsidRPr="00556BCB">
              <w:rPr>
                <w:sz w:val="20"/>
                <w:szCs w:val="20"/>
              </w:rPr>
              <w:t xml:space="preserve"> Citizen-based monitoring (Department of Planning, Monitoring and Evaluation)</w:t>
            </w:r>
          </w:p>
          <w:p w14:paraId="75EE8BDB" w14:textId="3960D6E5" w:rsidR="00533DCC" w:rsidRPr="00556BCB" w:rsidRDefault="00533DCC" w:rsidP="00533DCC">
            <w:pPr>
              <w:rPr>
                <w:sz w:val="20"/>
                <w:szCs w:val="20"/>
              </w:rPr>
            </w:pPr>
            <w:r w:rsidRPr="00556BCB">
              <w:rPr>
                <w:sz w:val="20"/>
                <w:szCs w:val="20"/>
              </w:rPr>
              <w:t>Support government departments to strengthen the citizen voice in monitoring service delivery</w:t>
            </w:r>
          </w:p>
        </w:tc>
      </w:tr>
      <w:tr w:rsidR="00533DCC" w:rsidRPr="00E73CF5" w14:paraId="70A5196B" w14:textId="77777777" w:rsidTr="000A5230">
        <w:tc>
          <w:tcPr>
            <w:tcW w:w="1413" w:type="dxa"/>
          </w:tcPr>
          <w:p w14:paraId="30AE06CD" w14:textId="77777777" w:rsidR="00533DCC" w:rsidRPr="00E73CF5" w:rsidRDefault="00533DCC" w:rsidP="00533DCC">
            <w:pPr>
              <w:rPr>
                <w:sz w:val="20"/>
                <w:szCs w:val="20"/>
              </w:rPr>
            </w:pPr>
          </w:p>
        </w:tc>
        <w:tc>
          <w:tcPr>
            <w:tcW w:w="1134" w:type="dxa"/>
          </w:tcPr>
          <w:p w14:paraId="1F47A15E" w14:textId="77777777" w:rsidR="00533DCC" w:rsidRPr="00E73CF5" w:rsidRDefault="00533DCC" w:rsidP="00533DCC">
            <w:pPr>
              <w:jc w:val="center"/>
              <w:rPr>
                <w:sz w:val="20"/>
                <w:szCs w:val="20"/>
              </w:rPr>
            </w:pPr>
            <w:r w:rsidRPr="00E73CF5">
              <w:rPr>
                <w:sz w:val="20"/>
                <w:szCs w:val="20"/>
              </w:rPr>
              <w:t>Uruguay</w:t>
            </w:r>
          </w:p>
          <w:p w14:paraId="1A066426" w14:textId="2B6818D6" w:rsidR="00533DCC" w:rsidRPr="00E73CF5" w:rsidRDefault="00533DCC" w:rsidP="00533DCC">
            <w:pPr>
              <w:jc w:val="center"/>
              <w:rPr>
                <w:sz w:val="20"/>
                <w:szCs w:val="20"/>
              </w:rPr>
            </w:pPr>
          </w:p>
        </w:tc>
        <w:tc>
          <w:tcPr>
            <w:tcW w:w="12049" w:type="dxa"/>
          </w:tcPr>
          <w:p w14:paraId="023CC6D9" w14:textId="77777777" w:rsidR="00533DCC" w:rsidRPr="00E73CF5" w:rsidRDefault="00533DCC" w:rsidP="00533DCC">
            <w:pPr>
              <w:rPr>
                <w:sz w:val="20"/>
                <w:szCs w:val="20"/>
              </w:rPr>
            </w:pPr>
            <w:r w:rsidRPr="00E73CF5">
              <w:rPr>
                <w:sz w:val="20"/>
                <w:szCs w:val="20"/>
              </w:rPr>
              <w:t xml:space="preserve">6) Unifying in a single tool and repository the information of the different pillar areas of PAEPU, in construction of new schools and maintenance, equipment and teacher training, in the form of a scoreboard. Have a visualization tool with easy access to the citizens of the process of construction, management and results of the works designed and built by PAEPU. </w:t>
            </w:r>
            <w:r w:rsidRPr="00E73CF5">
              <w:t xml:space="preserve"> </w:t>
            </w:r>
            <w:r w:rsidRPr="00E73CF5">
              <w:rPr>
                <w:sz w:val="20"/>
                <w:szCs w:val="20"/>
              </w:rPr>
              <w:t xml:space="preserve">Maintenance Plans will be carried out with the participation of the educational community: teachers, students, parents and </w:t>
            </w:r>
            <w:proofErr w:type="spellStart"/>
            <w:r w:rsidRPr="00E73CF5">
              <w:rPr>
                <w:sz w:val="20"/>
                <w:szCs w:val="20"/>
              </w:rPr>
              <w:t>neighbors</w:t>
            </w:r>
            <w:proofErr w:type="spellEnd"/>
            <w:r w:rsidRPr="00E73CF5">
              <w:rPr>
                <w:sz w:val="20"/>
                <w:szCs w:val="20"/>
              </w:rPr>
              <w:t xml:space="preserve">. </w:t>
            </w:r>
            <w:r w:rsidRPr="00E73CF5">
              <w:t xml:space="preserve"> </w:t>
            </w:r>
            <w:r w:rsidRPr="00E73CF5">
              <w:rPr>
                <w:sz w:val="20"/>
                <w:szCs w:val="20"/>
              </w:rPr>
              <w:t xml:space="preserve">Systematizing and making accessible to the public the statistical information about the training plan for teachers of full-time schools, their progress and compliance. Publicising opportunities for education of persons with disabilities (national survey on the different educational proposals (formal and non-formal) and human, material and accessibility resources, based on a system of indicators created in a participatory manner with all the actors involved. </w:t>
            </w:r>
          </w:p>
        </w:tc>
      </w:tr>
      <w:tr w:rsidR="00533DCC" w:rsidRPr="00E73CF5" w14:paraId="5A2FFAAF" w14:textId="77777777" w:rsidTr="000A5230">
        <w:tc>
          <w:tcPr>
            <w:tcW w:w="1413" w:type="dxa"/>
          </w:tcPr>
          <w:p w14:paraId="08CD0C9F" w14:textId="77777777" w:rsidR="00533DCC" w:rsidRPr="00E73CF5" w:rsidRDefault="00533DCC" w:rsidP="00533DCC">
            <w:pPr>
              <w:rPr>
                <w:sz w:val="20"/>
                <w:szCs w:val="20"/>
              </w:rPr>
            </w:pPr>
          </w:p>
        </w:tc>
        <w:tc>
          <w:tcPr>
            <w:tcW w:w="1134" w:type="dxa"/>
          </w:tcPr>
          <w:p w14:paraId="3D69E5C9" w14:textId="77777777" w:rsidR="00533DCC" w:rsidRPr="00E73CF5" w:rsidRDefault="00533DCC" w:rsidP="00533DCC">
            <w:pPr>
              <w:jc w:val="center"/>
              <w:rPr>
                <w:sz w:val="20"/>
                <w:szCs w:val="20"/>
              </w:rPr>
            </w:pPr>
            <w:r w:rsidRPr="00E73CF5">
              <w:rPr>
                <w:sz w:val="20"/>
                <w:szCs w:val="20"/>
              </w:rPr>
              <w:t>USA</w:t>
            </w:r>
          </w:p>
          <w:p w14:paraId="22A12870" w14:textId="538DA381" w:rsidR="00533DCC" w:rsidRPr="00E73CF5" w:rsidRDefault="00533DCC" w:rsidP="00533DCC">
            <w:pPr>
              <w:jc w:val="center"/>
              <w:rPr>
                <w:sz w:val="20"/>
                <w:szCs w:val="20"/>
              </w:rPr>
            </w:pPr>
          </w:p>
        </w:tc>
        <w:tc>
          <w:tcPr>
            <w:tcW w:w="12049" w:type="dxa"/>
          </w:tcPr>
          <w:p w14:paraId="1B99110E" w14:textId="77777777" w:rsidR="00533DCC" w:rsidRPr="00E73CF5" w:rsidRDefault="00533DCC" w:rsidP="00533DCC">
            <w:pPr>
              <w:rPr>
                <w:sz w:val="20"/>
                <w:szCs w:val="20"/>
              </w:rPr>
            </w:pPr>
            <w:r w:rsidRPr="00E73CF5">
              <w:rPr>
                <w:sz w:val="20"/>
                <w:szCs w:val="20"/>
              </w:rPr>
              <w:t xml:space="preserve">7) Open311 is a shared open platform that allows citizens to find government services and report problems. To reduce the burden of navigating the separation between local and Federal government, the USA.gov Contact </w:t>
            </w:r>
            <w:proofErr w:type="spellStart"/>
            <w:r w:rsidRPr="00E73CF5">
              <w:rPr>
                <w:sz w:val="20"/>
                <w:szCs w:val="20"/>
              </w:rPr>
              <w:t>Center</w:t>
            </w:r>
            <w:proofErr w:type="spellEnd"/>
            <w:r w:rsidRPr="00E73CF5">
              <w:rPr>
                <w:sz w:val="20"/>
                <w:szCs w:val="20"/>
              </w:rPr>
              <w:t xml:space="preserve"> at the General Services Administration will use Open311 to expand avenues for public participation and provide more transparency in government service delivery across both local and Federal governments. More than a dozen cities have already adopted Open311 and additional cities are committing to implement it including San Diego, Philadelphia, and New York City.</w:t>
            </w:r>
          </w:p>
        </w:tc>
      </w:tr>
      <w:tr w:rsidR="00533DCC" w:rsidRPr="00E73CF5" w14:paraId="6C549BCB" w14:textId="77777777" w:rsidTr="000A5230">
        <w:tc>
          <w:tcPr>
            <w:tcW w:w="1413" w:type="dxa"/>
          </w:tcPr>
          <w:p w14:paraId="7DB0F90A" w14:textId="77777777" w:rsidR="00533DCC" w:rsidRPr="00E73CF5" w:rsidRDefault="00533DCC" w:rsidP="00533DCC">
            <w:pPr>
              <w:rPr>
                <w:b/>
                <w:sz w:val="20"/>
                <w:szCs w:val="20"/>
              </w:rPr>
            </w:pPr>
            <w:r w:rsidRPr="00E73CF5">
              <w:rPr>
                <w:b/>
                <w:sz w:val="20"/>
                <w:szCs w:val="20"/>
              </w:rPr>
              <w:t>HLP 5: Legal framework</w:t>
            </w:r>
          </w:p>
        </w:tc>
        <w:tc>
          <w:tcPr>
            <w:tcW w:w="1134" w:type="dxa"/>
          </w:tcPr>
          <w:p w14:paraId="094F034D" w14:textId="77777777" w:rsidR="00533DCC" w:rsidRPr="00E73CF5" w:rsidRDefault="00533DCC" w:rsidP="00533DCC">
            <w:pPr>
              <w:jc w:val="center"/>
              <w:rPr>
                <w:sz w:val="20"/>
                <w:szCs w:val="20"/>
              </w:rPr>
            </w:pPr>
          </w:p>
        </w:tc>
        <w:tc>
          <w:tcPr>
            <w:tcW w:w="12049" w:type="dxa"/>
          </w:tcPr>
          <w:p w14:paraId="373E4E74" w14:textId="77777777" w:rsidR="00533DCC" w:rsidRPr="00E73CF5" w:rsidRDefault="00533DCC" w:rsidP="00533DCC">
            <w:pPr>
              <w:rPr>
                <w:sz w:val="20"/>
                <w:szCs w:val="20"/>
              </w:rPr>
            </w:pPr>
          </w:p>
        </w:tc>
      </w:tr>
      <w:tr w:rsidR="00533DCC" w:rsidRPr="00E73CF5" w14:paraId="4615FB52" w14:textId="77777777" w:rsidTr="000A5230">
        <w:tc>
          <w:tcPr>
            <w:tcW w:w="1413" w:type="dxa"/>
          </w:tcPr>
          <w:p w14:paraId="04E9AAEB" w14:textId="77777777" w:rsidR="00533DCC" w:rsidRPr="00E73CF5" w:rsidRDefault="00533DCC" w:rsidP="00533DCC">
            <w:pPr>
              <w:rPr>
                <w:sz w:val="20"/>
                <w:szCs w:val="20"/>
              </w:rPr>
            </w:pPr>
          </w:p>
        </w:tc>
        <w:tc>
          <w:tcPr>
            <w:tcW w:w="1134" w:type="dxa"/>
          </w:tcPr>
          <w:p w14:paraId="134EA9B4" w14:textId="77777777" w:rsidR="00533DCC" w:rsidRPr="00E73CF5" w:rsidRDefault="00533DCC" w:rsidP="00533DCC">
            <w:pPr>
              <w:jc w:val="center"/>
              <w:rPr>
                <w:rFonts w:ascii="Calibri" w:eastAsia="Times New Roman" w:hAnsi="Calibri" w:cs="Times New Roman"/>
                <w:color w:val="000000"/>
                <w:sz w:val="20"/>
                <w:szCs w:val="20"/>
                <w:lang w:eastAsia="en-NZ"/>
              </w:rPr>
            </w:pPr>
            <w:r w:rsidRPr="00E73CF5">
              <w:rPr>
                <w:rFonts w:ascii="Calibri" w:eastAsia="Times New Roman" w:hAnsi="Calibri" w:cs="Times New Roman"/>
                <w:color w:val="000000"/>
                <w:sz w:val="20"/>
                <w:szCs w:val="20"/>
                <w:lang w:eastAsia="en-NZ"/>
              </w:rPr>
              <w:t>Colombia</w:t>
            </w:r>
          </w:p>
          <w:p w14:paraId="4BD117EF" w14:textId="7BC67CED" w:rsidR="00533DCC" w:rsidRPr="00E73CF5" w:rsidRDefault="00533DCC" w:rsidP="00533DCC">
            <w:pPr>
              <w:jc w:val="center"/>
              <w:rPr>
                <w:rFonts w:ascii="Calibri" w:eastAsia="Times New Roman" w:hAnsi="Calibri" w:cs="Times New Roman"/>
                <w:color w:val="000000"/>
                <w:sz w:val="20"/>
                <w:szCs w:val="20"/>
                <w:lang w:eastAsia="en-NZ"/>
              </w:rPr>
            </w:pPr>
          </w:p>
        </w:tc>
        <w:tc>
          <w:tcPr>
            <w:tcW w:w="12049" w:type="dxa"/>
            <w:vAlign w:val="bottom"/>
          </w:tcPr>
          <w:p w14:paraId="2F9018D9" w14:textId="77777777" w:rsidR="00533DCC" w:rsidRPr="00E73CF5" w:rsidRDefault="00533DCC" w:rsidP="00533DCC">
            <w:pPr>
              <w:rPr>
                <w:rFonts w:ascii="Calibri" w:eastAsia="Times New Roman" w:hAnsi="Calibri" w:cs="Times New Roman"/>
                <w:color w:val="000000"/>
                <w:sz w:val="20"/>
                <w:szCs w:val="20"/>
                <w:lang w:eastAsia="en-NZ"/>
              </w:rPr>
            </w:pPr>
            <w:r w:rsidRPr="00E73CF5">
              <w:rPr>
                <w:rFonts w:ascii="Calibri" w:eastAsia="Times New Roman" w:hAnsi="Calibri" w:cs="Times New Roman"/>
                <w:color w:val="000000"/>
                <w:sz w:val="20"/>
                <w:szCs w:val="20"/>
                <w:lang w:eastAsia="en-NZ"/>
              </w:rPr>
              <w:t xml:space="preserve">12) This commitment is part of the Institutional Strengthening Project, led by the DNP, instruments for good governance will be provided, to promote the implementation of Law 1712 of 2014, as a preventive element of acts </w:t>
            </w:r>
            <w:proofErr w:type="gramStart"/>
            <w:r w:rsidRPr="00E73CF5">
              <w:rPr>
                <w:rFonts w:ascii="Calibri" w:eastAsia="Times New Roman" w:hAnsi="Calibri" w:cs="Times New Roman"/>
                <w:color w:val="000000"/>
                <w:sz w:val="20"/>
                <w:szCs w:val="20"/>
                <w:lang w:eastAsia="en-NZ"/>
              </w:rPr>
              <w:t>Of</w:t>
            </w:r>
            <w:proofErr w:type="gramEnd"/>
            <w:r w:rsidRPr="00E73CF5">
              <w:rPr>
                <w:rFonts w:ascii="Calibri" w:eastAsia="Times New Roman" w:hAnsi="Calibri" w:cs="Times New Roman"/>
                <w:color w:val="000000"/>
                <w:sz w:val="20"/>
                <w:szCs w:val="20"/>
                <w:lang w:eastAsia="en-NZ"/>
              </w:rPr>
              <w:t xml:space="preserve"> corruption; And to disseminate the Single Manual of Accountability. Additionally, a baseline of accounting, financial, budgetary and contractual information systems will be created in the territorial entities, open to the public, as an action to strengthen the Economic Transparency Portal. </w:t>
            </w:r>
          </w:p>
        </w:tc>
      </w:tr>
      <w:tr w:rsidR="00533DCC" w:rsidRPr="00E73CF5" w14:paraId="538FDD64" w14:textId="77777777" w:rsidTr="000A5230">
        <w:tc>
          <w:tcPr>
            <w:tcW w:w="1413" w:type="dxa"/>
          </w:tcPr>
          <w:p w14:paraId="5457655C" w14:textId="77777777" w:rsidR="00533DCC" w:rsidRPr="00E73CF5" w:rsidRDefault="00533DCC" w:rsidP="00533DCC">
            <w:pPr>
              <w:rPr>
                <w:sz w:val="20"/>
                <w:szCs w:val="20"/>
              </w:rPr>
            </w:pPr>
          </w:p>
        </w:tc>
        <w:tc>
          <w:tcPr>
            <w:tcW w:w="1134" w:type="dxa"/>
          </w:tcPr>
          <w:p w14:paraId="37D85BD4" w14:textId="77777777" w:rsidR="00533DCC" w:rsidRPr="00E73CF5" w:rsidRDefault="00533DCC" w:rsidP="00533DCC">
            <w:pPr>
              <w:jc w:val="center"/>
              <w:rPr>
                <w:rFonts w:ascii="Calibri" w:eastAsia="Times New Roman" w:hAnsi="Calibri" w:cs="Times New Roman"/>
                <w:color w:val="000000"/>
                <w:sz w:val="20"/>
                <w:szCs w:val="20"/>
                <w:lang w:eastAsia="en-NZ"/>
              </w:rPr>
            </w:pPr>
            <w:r w:rsidRPr="00E73CF5">
              <w:rPr>
                <w:rFonts w:ascii="Calibri" w:eastAsia="Times New Roman" w:hAnsi="Calibri" w:cs="Times New Roman"/>
                <w:color w:val="000000"/>
                <w:sz w:val="20"/>
                <w:szCs w:val="20"/>
                <w:lang w:eastAsia="en-NZ"/>
              </w:rPr>
              <w:t>Guatemala</w:t>
            </w:r>
          </w:p>
          <w:p w14:paraId="0247B2F4" w14:textId="08B393FA" w:rsidR="00533DCC" w:rsidRPr="00E73CF5" w:rsidRDefault="00533DCC" w:rsidP="00533DCC">
            <w:pPr>
              <w:jc w:val="center"/>
              <w:rPr>
                <w:sz w:val="20"/>
                <w:szCs w:val="20"/>
              </w:rPr>
            </w:pPr>
          </w:p>
        </w:tc>
        <w:tc>
          <w:tcPr>
            <w:tcW w:w="12049" w:type="dxa"/>
            <w:vAlign w:val="bottom"/>
          </w:tcPr>
          <w:p w14:paraId="13A8F370" w14:textId="77777777" w:rsidR="00533DCC" w:rsidRPr="00E73CF5" w:rsidRDefault="00533DCC" w:rsidP="00533DCC">
            <w:pPr>
              <w:rPr>
                <w:sz w:val="20"/>
                <w:szCs w:val="20"/>
              </w:rPr>
            </w:pPr>
            <w:r w:rsidRPr="00E73CF5">
              <w:rPr>
                <w:rFonts w:ascii="Calibri" w:eastAsia="Times New Roman" w:hAnsi="Calibri" w:cs="Times New Roman"/>
                <w:color w:val="000000"/>
                <w:sz w:val="20"/>
                <w:szCs w:val="20"/>
                <w:lang w:eastAsia="en-NZ"/>
              </w:rPr>
              <w:t xml:space="preserve">19) To implement the provisions and procedures that update the </w:t>
            </w:r>
            <w:proofErr w:type="spellStart"/>
            <w:r w:rsidRPr="00E73CF5">
              <w:rPr>
                <w:rFonts w:ascii="Calibri" w:eastAsia="Times New Roman" w:hAnsi="Calibri" w:cs="Times New Roman"/>
                <w:color w:val="000000"/>
                <w:sz w:val="20"/>
                <w:szCs w:val="20"/>
                <w:lang w:eastAsia="en-NZ"/>
              </w:rPr>
              <w:t>Guatecompras</w:t>
            </w:r>
            <w:proofErr w:type="spellEnd"/>
            <w:r w:rsidRPr="00E73CF5">
              <w:rPr>
                <w:rFonts w:ascii="Calibri" w:eastAsia="Times New Roman" w:hAnsi="Calibri" w:cs="Times New Roman"/>
                <w:color w:val="000000"/>
                <w:sz w:val="20"/>
                <w:szCs w:val="20"/>
                <w:lang w:eastAsia="en-NZ"/>
              </w:rPr>
              <w:t xml:space="preserve"> modules, in accordance with the reforms of the State Procurement Law.</w:t>
            </w:r>
          </w:p>
        </w:tc>
      </w:tr>
      <w:tr w:rsidR="00533DCC" w:rsidRPr="00E73CF5" w14:paraId="0C043A6D" w14:textId="77777777" w:rsidTr="000A5230">
        <w:tc>
          <w:tcPr>
            <w:tcW w:w="1413" w:type="dxa"/>
          </w:tcPr>
          <w:p w14:paraId="512D1DAB" w14:textId="77777777" w:rsidR="00533DCC" w:rsidRPr="00E73CF5" w:rsidRDefault="00533DCC" w:rsidP="00533DCC">
            <w:pPr>
              <w:rPr>
                <w:sz w:val="20"/>
                <w:szCs w:val="20"/>
              </w:rPr>
            </w:pPr>
          </w:p>
        </w:tc>
        <w:tc>
          <w:tcPr>
            <w:tcW w:w="1134" w:type="dxa"/>
          </w:tcPr>
          <w:p w14:paraId="4AD808E1" w14:textId="77777777" w:rsidR="00533DCC" w:rsidRPr="00E73CF5" w:rsidRDefault="00533DCC" w:rsidP="00533DCC">
            <w:pPr>
              <w:jc w:val="center"/>
              <w:rPr>
                <w:sz w:val="20"/>
                <w:szCs w:val="20"/>
              </w:rPr>
            </w:pPr>
            <w:r w:rsidRPr="00E73CF5">
              <w:rPr>
                <w:sz w:val="20"/>
                <w:szCs w:val="20"/>
              </w:rPr>
              <w:t xml:space="preserve">Philippines </w:t>
            </w:r>
          </w:p>
          <w:p w14:paraId="5CD97ED2" w14:textId="6C40854E" w:rsidR="00533DCC" w:rsidRPr="00E73CF5" w:rsidRDefault="00533DCC" w:rsidP="00533DCC">
            <w:pPr>
              <w:jc w:val="center"/>
              <w:rPr>
                <w:sz w:val="20"/>
                <w:szCs w:val="20"/>
              </w:rPr>
            </w:pPr>
          </w:p>
        </w:tc>
        <w:tc>
          <w:tcPr>
            <w:tcW w:w="12049" w:type="dxa"/>
          </w:tcPr>
          <w:p w14:paraId="37A6B7B4" w14:textId="0246F6FA" w:rsidR="00533DCC" w:rsidRPr="009C24E5" w:rsidRDefault="00533DCC" w:rsidP="00533DCC">
            <w:pPr>
              <w:rPr>
                <w:sz w:val="20"/>
                <w:szCs w:val="20"/>
              </w:rPr>
            </w:pPr>
            <w:r w:rsidRPr="009C24E5">
              <w:rPr>
                <w:sz w:val="20"/>
                <w:szCs w:val="20"/>
              </w:rPr>
              <w:t>8</w:t>
            </w:r>
            <w:r>
              <w:rPr>
                <w:sz w:val="20"/>
                <w:szCs w:val="20"/>
              </w:rPr>
              <w:t>)</w:t>
            </w:r>
            <w:r w:rsidRPr="009C24E5">
              <w:rPr>
                <w:sz w:val="20"/>
                <w:szCs w:val="20"/>
              </w:rPr>
              <w:t xml:space="preserve"> Open Budget Index and Budget Reform Bill (Department of Budget and Management).</w:t>
            </w:r>
          </w:p>
          <w:p w14:paraId="11E2531A" w14:textId="77777777" w:rsidR="00533DCC" w:rsidRPr="009C24E5" w:rsidRDefault="00533DCC" w:rsidP="00533DCC">
            <w:pPr>
              <w:rPr>
                <w:sz w:val="20"/>
                <w:szCs w:val="20"/>
              </w:rPr>
            </w:pPr>
            <w:r w:rsidRPr="009C24E5">
              <w:rPr>
                <w:sz w:val="20"/>
                <w:szCs w:val="20"/>
              </w:rPr>
              <w:t>This commitment aims to reform the budget process by enforcing greater accountability in public financial management, strengthening Congress’ power of the purse, instituting an integrated PFM system, and increasing budget transparency and participation. This will be done by improving the Philippines’ performance in the Open Budget Survey and shepherding the passage of the Budget Reform Bill (BRB) in Congress. The BRB aims to strengthen Congress’ power of the purse by enforcing the Constitutional policy that all expenditures must be approved by Congress; and by enabling Congress to review and approve proposed appropriations based clearly defined performance information and regular reports on actual performance. The Bill also secures the irreversibility of PFM reforms so far.</w:t>
            </w:r>
          </w:p>
          <w:p w14:paraId="1EE32B63" w14:textId="5320E67B" w:rsidR="00533DCC" w:rsidRPr="00E73CF5" w:rsidRDefault="00533DCC" w:rsidP="00533DCC">
            <w:pPr>
              <w:rPr>
                <w:sz w:val="20"/>
                <w:szCs w:val="20"/>
              </w:rPr>
            </w:pPr>
            <w:r w:rsidRPr="009C24E5">
              <w:rPr>
                <w:sz w:val="20"/>
                <w:szCs w:val="20"/>
              </w:rPr>
              <w:t xml:space="preserve">The increase in the country’s OBS performance will address identified fiscal openness gaps with concrete actions from government. While the establishment of a legal framework for the Public Financial Management will strengthen accountability and integrity in the use of public resources. It will: (1) enforce transparency, fiscal responsibility, results orientation, efficiency &amp; effectiveness thru an integrated PFM system; (2) enforce power of purse of Congress to authorize appropriations, &amp; responsibility of all agencies to propose, execute and deliver results committed in the Budget; (3) promote citizen empowerment via fiscal transparency &amp; participation; (4) integrate planning, budgeting, and </w:t>
            </w:r>
            <w:r w:rsidRPr="009C24E5">
              <w:rPr>
                <w:sz w:val="20"/>
                <w:szCs w:val="20"/>
              </w:rPr>
              <w:lastRenderedPageBreak/>
              <w:t>performance management &amp; ensure ample safeguards in managing public finances through the creation of an Office of Comptroller General; (5) Enhance transparency &amp; participation through the reporting to, and monitoring by Congress, and the public.</w:t>
            </w:r>
          </w:p>
        </w:tc>
      </w:tr>
      <w:tr w:rsidR="00533DCC" w:rsidRPr="00E73CF5" w14:paraId="06F32461" w14:textId="77777777" w:rsidTr="000A5230">
        <w:tc>
          <w:tcPr>
            <w:tcW w:w="1413" w:type="dxa"/>
          </w:tcPr>
          <w:p w14:paraId="5CD3DDF3" w14:textId="77777777" w:rsidR="00533DCC" w:rsidRPr="00E73CF5" w:rsidRDefault="00533DCC" w:rsidP="00533DCC">
            <w:pPr>
              <w:rPr>
                <w:sz w:val="20"/>
                <w:szCs w:val="20"/>
              </w:rPr>
            </w:pPr>
          </w:p>
        </w:tc>
        <w:tc>
          <w:tcPr>
            <w:tcW w:w="1134" w:type="dxa"/>
          </w:tcPr>
          <w:p w14:paraId="46F695A8" w14:textId="77777777" w:rsidR="00533DCC" w:rsidRPr="00E73CF5" w:rsidRDefault="00533DCC" w:rsidP="00533DCC">
            <w:pPr>
              <w:jc w:val="center"/>
              <w:rPr>
                <w:sz w:val="20"/>
                <w:szCs w:val="20"/>
              </w:rPr>
            </w:pPr>
            <w:r w:rsidRPr="00E73CF5">
              <w:rPr>
                <w:sz w:val="20"/>
                <w:szCs w:val="20"/>
              </w:rPr>
              <w:t>Uruguay</w:t>
            </w:r>
          </w:p>
          <w:p w14:paraId="7CD83AD3" w14:textId="777D8F30" w:rsidR="00533DCC" w:rsidRPr="00E73CF5" w:rsidRDefault="00533DCC" w:rsidP="00533DCC">
            <w:pPr>
              <w:jc w:val="center"/>
              <w:rPr>
                <w:sz w:val="20"/>
                <w:szCs w:val="20"/>
              </w:rPr>
            </w:pPr>
          </w:p>
        </w:tc>
        <w:tc>
          <w:tcPr>
            <w:tcW w:w="12049" w:type="dxa"/>
          </w:tcPr>
          <w:p w14:paraId="0E55A6F8" w14:textId="77777777" w:rsidR="00533DCC" w:rsidRPr="00E73CF5" w:rsidRDefault="00533DCC" w:rsidP="00533DCC">
            <w:pPr>
              <w:rPr>
                <w:sz w:val="20"/>
                <w:szCs w:val="20"/>
              </w:rPr>
            </w:pPr>
            <w:r w:rsidRPr="00E73CF5">
              <w:rPr>
                <w:sz w:val="20"/>
                <w:szCs w:val="20"/>
              </w:rPr>
              <w:t xml:space="preserve">5) Publish open data of the DNI showing the execution of the investment projects promoted under Law 16,906. Publish the subsidies that are </w:t>
            </w:r>
            <w:proofErr w:type="gramStart"/>
            <w:r w:rsidRPr="00E73CF5">
              <w:rPr>
                <w:sz w:val="20"/>
                <w:szCs w:val="20"/>
              </w:rPr>
              <w:t>granted</w:t>
            </w:r>
            <w:proofErr w:type="gramEnd"/>
            <w:r w:rsidRPr="00E73CF5">
              <w:rPr>
                <w:sz w:val="20"/>
                <w:szCs w:val="20"/>
              </w:rPr>
              <w:t xml:space="preserve"> and the projects evaluated from the DNI.</w:t>
            </w:r>
          </w:p>
        </w:tc>
      </w:tr>
      <w:tr w:rsidR="00533DCC" w:rsidRPr="00E73CF5" w14:paraId="695D6C39" w14:textId="77777777" w:rsidTr="000A5230">
        <w:tc>
          <w:tcPr>
            <w:tcW w:w="1413" w:type="dxa"/>
          </w:tcPr>
          <w:p w14:paraId="38C75E20" w14:textId="77777777" w:rsidR="00533DCC" w:rsidRPr="00E73CF5" w:rsidRDefault="00533DCC" w:rsidP="00533DCC">
            <w:pPr>
              <w:rPr>
                <w:sz w:val="20"/>
                <w:szCs w:val="20"/>
              </w:rPr>
            </w:pPr>
          </w:p>
        </w:tc>
        <w:tc>
          <w:tcPr>
            <w:tcW w:w="1134" w:type="dxa"/>
          </w:tcPr>
          <w:p w14:paraId="5372D701" w14:textId="77777777" w:rsidR="00533DCC" w:rsidRPr="00E73CF5" w:rsidRDefault="00533DCC" w:rsidP="00533DCC">
            <w:pPr>
              <w:jc w:val="center"/>
              <w:rPr>
                <w:sz w:val="20"/>
                <w:szCs w:val="20"/>
              </w:rPr>
            </w:pPr>
            <w:r w:rsidRPr="00E73CF5">
              <w:rPr>
                <w:sz w:val="20"/>
                <w:szCs w:val="20"/>
              </w:rPr>
              <w:t>Uruguay</w:t>
            </w:r>
          </w:p>
          <w:p w14:paraId="77AF11FC" w14:textId="26EB1163" w:rsidR="00533DCC" w:rsidRPr="00E73CF5" w:rsidRDefault="00533DCC" w:rsidP="00533DCC">
            <w:pPr>
              <w:jc w:val="center"/>
              <w:rPr>
                <w:sz w:val="20"/>
                <w:szCs w:val="20"/>
              </w:rPr>
            </w:pPr>
          </w:p>
        </w:tc>
        <w:tc>
          <w:tcPr>
            <w:tcW w:w="12049" w:type="dxa"/>
          </w:tcPr>
          <w:p w14:paraId="1251DB79" w14:textId="77777777" w:rsidR="00533DCC" w:rsidRPr="00E73CF5" w:rsidRDefault="00533DCC" w:rsidP="00533DCC">
            <w:pPr>
              <w:rPr>
                <w:sz w:val="20"/>
                <w:szCs w:val="20"/>
              </w:rPr>
            </w:pPr>
            <w:r w:rsidRPr="00E73CF5">
              <w:rPr>
                <w:sz w:val="20"/>
                <w:szCs w:val="20"/>
              </w:rPr>
              <w:t xml:space="preserve">8) To implement the National Open Data Plan of Government 2016-2020, including a regulatory framework and a process of implementation of art. 82 of the law 19355 (Law of National Budget - https://www.impo.com.uy/bases/leyes/19355-2015/82). </w:t>
            </w:r>
          </w:p>
        </w:tc>
      </w:tr>
      <w:tr w:rsidR="00533DCC" w:rsidRPr="00E73CF5" w14:paraId="5A90A209" w14:textId="77777777" w:rsidTr="000A5230">
        <w:tc>
          <w:tcPr>
            <w:tcW w:w="1413" w:type="dxa"/>
          </w:tcPr>
          <w:p w14:paraId="400DBA8C" w14:textId="77777777" w:rsidR="00533DCC" w:rsidRPr="00E73CF5" w:rsidRDefault="00533DCC" w:rsidP="00533DCC">
            <w:pPr>
              <w:rPr>
                <w:rFonts w:ascii="Calibri" w:eastAsia="Times New Roman" w:hAnsi="Calibri" w:cs="Times New Roman"/>
                <w:b/>
                <w:color w:val="000000"/>
                <w:sz w:val="20"/>
                <w:szCs w:val="20"/>
                <w:lang w:eastAsia="en-NZ"/>
              </w:rPr>
            </w:pPr>
            <w:r w:rsidRPr="00E73CF5">
              <w:rPr>
                <w:rFonts w:ascii="Calibri" w:eastAsia="Times New Roman" w:hAnsi="Calibri" w:cs="Times New Roman"/>
                <w:b/>
                <w:color w:val="000000"/>
                <w:sz w:val="20"/>
                <w:szCs w:val="20"/>
                <w:lang w:eastAsia="en-NZ"/>
              </w:rPr>
              <w:t>HLP 6: Govt/ private sector</w:t>
            </w:r>
          </w:p>
          <w:p w14:paraId="69BA5FA7" w14:textId="77777777" w:rsidR="00533DCC" w:rsidRPr="00E73CF5" w:rsidRDefault="00533DCC" w:rsidP="00533DCC">
            <w:pPr>
              <w:rPr>
                <w:rFonts w:ascii="Calibri" w:eastAsia="Times New Roman" w:hAnsi="Calibri" w:cs="Times New Roman"/>
                <w:color w:val="000000"/>
                <w:sz w:val="20"/>
                <w:szCs w:val="20"/>
                <w:lang w:eastAsia="en-NZ"/>
              </w:rPr>
            </w:pPr>
            <w:r w:rsidRPr="00E73CF5">
              <w:rPr>
                <w:rFonts w:ascii="Calibri" w:eastAsia="Times New Roman" w:hAnsi="Calibri" w:cs="Times New Roman"/>
                <w:b/>
                <w:color w:val="000000"/>
                <w:sz w:val="20"/>
                <w:szCs w:val="20"/>
                <w:lang w:eastAsia="en-NZ"/>
              </w:rPr>
              <w:t>- procurement</w:t>
            </w:r>
          </w:p>
        </w:tc>
        <w:tc>
          <w:tcPr>
            <w:tcW w:w="1134" w:type="dxa"/>
          </w:tcPr>
          <w:p w14:paraId="2DF47EDB" w14:textId="77777777" w:rsidR="00533DCC" w:rsidRPr="00E73CF5" w:rsidRDefault="00533DCC" w:rsidP="00533DCC">
            <w:pPr>
              <w:jc w:val="center"/>
              <w:rPr>
                <w:sz w:val="20"/>
                <w:szCs w:val="20"/>
              </w:rPr>
            </w:pPr>
          </w:p>
        </w:tc>
        <w:tc>
          <w:tcPr>
            <w:tcW w:w="12049" w:type="dxa"/>
          </w:tcPr>
          <w:p w14:paraId="17B374B2" w14:textId="77777777" w:rsidR="00533DCC" w:rsidRPr="00E73CF5" w:rsidRDefault="00533DCC" w:rsidP="00533DCC">
            <w:pPr>
              <w:rPr>
                <w:sz w:val="20"/>
                <w:szCs w:val="20"/>
              </w:rPr>
            </w:pPr>
          </w:p>
        </w:tc>
      </w:tr>
      <w:tr w:rsidR="00533DCC" w:rsidRPr="00E73CF5" w14:paraId="00AA5852" w14:textId="77777777" w:rsidTr="000A5230">
        <w:tc>
          <w:tcPr>
            <w:tcW w:w="1413" w:type="dxa"/>
          </w:tcPr>
          <w:p w14:paraId="79A51725" w14:textId="77777777" w:rsidR="00533DCC" w:rsidRPr="00E73CF5" w:rsidRDefault="00533DCC" w:rsidP="00533DCC">
            <w:pPr>
              <w:rPr>
                <w:sz w:val="20"/>
                <w:szCs w:val="20"/>
              </w:rPr>
            </w:pPr>
          </w:p>
        </w:tc>
        <w:tc>
          <w:tcPr>
            <w:tcW w:w="1134" w:type="dxa"/>
          </w:tcPr>
          <w:p w14:paraId="4D75EB83" w14:textId="6848A5BA" w:rsidR="00533DCC" w:rsidRPr="00E73CF5" w:rsidRDefault="00533DCC" w:rsidP="00533DCC">
            <w:pPr>
              <w:jc w:val="center"/>
              <w:rPr>
                <w:sz w:val="20"/>
                <w:szCs w:val="20"/>
              </w:rPr>
            </w:pPr>
            <w:r>
              <w:rPr>
                <w:sz w:val="20"/>
                <w:szCs w:val="20"/>
              </w:rPr>
              <w:t>Argentina</w:t>
            </w:r>
          </w:p>
        </w:tc>
        <w:tc>
          <w:tcPr>
            <w:tcW w:w="12049" w:type="dxa"/>
          </w:tcPr>
          <w:p w14:paraId="58E8CE99" w14:textId="461E8075" w:rsidR="00533DCC" w:rsidRPr="00BA5F36" w:rsidRDefault="00533DCC" w:rsidP="00533DCC">
            <w:pPr>
              <w:rPr>
                <w:sz w:val="20"/>
                <w:szCs w:val="20"/>
              </w:rPr>
            </w:pPr>
            <w:r w:rsidRPr="00BA5F36">
              <w:rPr>
                <w:sz w:val="20"/>
                <w:szCs w:val="20"/>
              </w:rPr>
              <w:t>9</w:t>
            </w:r>
            <w:r>
              <w:rPr>
                <w:sz w:val="20"/>
                <w:szCs w:val="20"/>
              </w:rPr>
              <w:t>)</w:t>
            </w:r>
            <w:r w:rsidRPr="00BA5F36">
              <w:rPr>
                <w:sz w:val="20"/>
                <w:szCs w:val="20"/>
              </w:rPr>
              <w:t xml:space="preserve"> Implementation of the Data Standard for Open Contracting (Ministry of Modernization: - National Office of Contracting)</w:t>
            </w:r>
          </w:p>
          <w:p w14:paraId="3FD8F135" w14:textId="3B9F3194" w:rsidR="00533DCC" w:rsidRPr="00E73CF5" w:rsidRDefault="00533DCC" w:rsidP="00533DCC">
            <w:pPr>
              <w:rPr>
                <w:sz w:val="20"/>
                <w:szCs w:val="20"/>
              </w:rPr>
            </w:pPr>
            <w:r w:rsidRPr="00BA5F36">
              <w:rPr>
                <w:sz w:val="20"/>
                <w:szCs w:val="20"/>
              </w:rPr>
              <w:t>Progressive implementation of Open Contracting, expansion of transparency to facilitate civil society oversight.</w:t>
            </w:r>
          </w:p>
        </w:tc>
      </w:tr>
      <w:tr w:rsidR="00533DCC" w:rsidRPr="00E73CF5" w14:paraId="0D0EAEBD" w14:textId="77777777" w:rsidTr="000A5230">
        <w:tc>
          <w:tcPr>
            <w:tcW w:w="1413" w:type="dxa"/>
          </w:tcPr>
          <w:p w14:paraId="2950C041" w14:textId="77777777" w:rsidR="00533DCC" w:rsidRPr="00E73CF5" w:rsidRDefault="00533DCC" w:rsidP="00533DCC">
            <w:pPr>
              <w:rPr>
                <w:sz w:val="20"/>
                <w:szCs w:val="20"/>
              </w:rPr>
            </w:pPr>
          </w:p>
        </w:tc>
        <w:tc>
          <w:tcPr>
            <w:tcW w:w="1134" w:type="dxa"/>
          </w:tcPr>
          <w:p w14:paraId="19EC579B" w14:textId="53EE6F9D" w:rsidR="00533DCC" w:rsidRDefault="00533DCC" w:rsidP="00533DCC">
            <w:pPr>
              <w:jc w:val="center"/>
              <w:rPr>
                <w:sz w:val="20"/>
                <w:szCs w:val="20"/>
              </w:rPr>
            </w:pPr>
            <w:r>
              <w:rPr>
                <w:sz w:val="20"/>
                <w:szCs w:val="20"/>
              </w:rPr>
              <w:t>Argentina</w:t>
            </w:r>
          </w:p>
        </w:tc>
        <w:tc>
          <w:tcPr>
            <w:tcW w:w="12049" w:type="dxa"/>
          </w:tcPr>
          <w:p w14:paraId="1AE98E8E" w14:textId="3CDE6A42" w:rsidR="00533DCC" w:rsidRPr="00BA5F36" w:rsidRDefault="00533DCC" w:rsidP="00533DCC">
            <w:pPr>
              <w:rPr>
                <w:sz w:val="20"/>
                <w:szCs w:val="20"/>
              </w:rPr>
            </w:pPr>
            <w:r w:rsidRPr="00BA5F36">
              <w:rPr>
                <w:sz w:val="20"/>
                <w:szCs w:val="20"/>
              </w:rPr>
              <w:t>13</w:t>
            </w:r>
            <w:r>
              <w:rPr>
                <w:sz w:val="20"/>
                <w:szCs w:val="20"/>
              </w:rPr>
              <w:t>)</w:t>
            </w:r>
            <w:r w:rsidRPr="00BA5F36">
              <w:rPr>
                <w:sz w:val="20"/>
                <w:szCs w:val="20"/>
              </w:rPr>
              <w:t xml:space="preserve"> Transparency of procurement of medical supplies</w:t>
            </w:r>
            <w:r>
              <w:rPr>
                <w:sz w:val="20"/>
                <w:szCs w:val="20"/>
              </w:rPr>
              <w:t xml:space="preserve">. </w:t>
            </w:r>
            <w:r w:rsidRPr="00BA5F36">
              <w:rPr>
                <w:sz w:val="20"/>
                <w:szCs w:val="20"/>
              </w:rPr>
              <w:t>Progressively open the documents of the purchase and contracting cycle of medicines, medical supplies and benefits performed by PAMI at the central level.</w:t>
            </w:r>
          </w:p>
        </w:tc>
      </w:tr>
      <w:tr w:rsidR="00533DCC" w:rsidRPr="00E73CF5" w14:paraId="5035CD47" w14:textId="77777777" w:rsidTr="000A5230">
        <w:tc>
          <w:tcPr>
            <w:tcW w:w="1413" w:type="dxa"/>
          </w:tcPr>
          <w:p w14:paraId="1F9D0285" w14:textId="77777777" w:rsidR="00533DCC" w:rsidRPr="00E73CF5" w:rsidRDefault="00533DCC" w:rsidP="00533DCC">
            <w:pPr>
              <w:rPr>
                <w:sz w:val="20"/>
                <w:szCs w:val="20"/>
              </w:rPr>
            </w:pPr>
          </w:p>
        </w:tc>
        <w:tc>
          <w:tcPr>
            <w:tcW w:w="1134" w:type="dxa"/>
          </w:tcPr>
          <w:p w14:paraId="65767D5C" w14:textId="33D430B8" w:rsidR="00533DCC" w:rsidRPr="00E73CF5" w:rsidRDefault="00533DCC" w:rsidP="00533DCC">
            <w:pPr>
              <w:jc w:val="center"/>
              <w:rPr>
                <w:sz w:val="20"/>
                <w:szCs w:val="20"/>
              </w:rPr>
            </w:pPr>
            <w:r>
              <w:rPr>
                <w:sz w:val="20"/>
                <w:szCs w:val="20"/>
              </w:rPr>
              <w:t>Chile</w:t>
            </w:r>
          </w:p>
        </w:tc>
        <w:tc>
          <w:tcPr>
            <w:tcW w:w="12049" w:type="dxa"/>
          </w:tcPr>
          <w:p w14:paraId="0DB4127C" w14:textId="2306D191" w:rsidR="00533DCC" w:rsidRPr="00E73CF5" w:rsidRDefault="00533DCC" w:rsidP="00533DCC">
            <w:pPr>
              <w:rPr>
                <w:sz w:val="20"/>
                <w:szCs w:val="20"/>
              </w:rPr>
            </w:pPr>
            <w:r w:rsidRPr="00533DCC">
              <w:rPr>
                <w:sz w:val="20"/>
                <w:szCs w:val="20"/>
              </w:rPr>
              <w:t>13</w:t>
            </w:r>
            <w:r>
              <w:rPr>
                <w:sz w:val="20"/>
                <w:szCs w:val="20"/>
              </w:rPr>
              <w:t>)</w:t>
            </w:r>
            <w:r w:rsidRPr="00533DCC">
              <w:rPr>
                <w:sz w:val="20"/>
                <w:szCs w:val="20"/>
              </w:rPr>
              <w:t xml:space="preserve"> Modernization and transparency of recruitment system and control of public works management</w:t>
            </w:r>
            <w:r>
              <w:rPr>
                <w:sz w:val="20"/>
                <w:szCs w:val="20"/>
              </w:rPr>
              <w:t>. A</w:t>
            </w:r>
            <w:r w:rsidRPr="00533DCC">
              <w:rPr>
                <w:sz w:val="20"/>
                <w:szCs w:val="20"/>
              </w:rPr>
              <w:t>llow citizens to access, through three specialized web platforms, information on State providers, procurers and public work tenders, geo-referenced data on audits, and public work appointing.</w:t>
            </w:r>
          </w:p>
        </w:tc>
      </w:tr>
      <w:tr w:rsidR="00533DCC" w:rsidRPr="00E73CF5" w14:paraId="047C6A2A" w14:textId="77777777" w:rsidTr="000A5230">
        <w:tc>
          <w:tcPr>
            <w:tcW w:w="1413" w:type="dxa"/>
          </w:tcPr>
          <w:p w14:paraId="220B0201" w14:textId="77777777" w:rsidR="00533DCC" w:rsidRPr="00E73CF5" w:rsidRDefault="00533DCC" w:rsidP="00533DCC">
            <w:pPr>
              <w:rPr>
                <w:sz w:val="20"/>
                <w:szCs w:val="20"/>
              </w:rPr>
            </w:pPr>
          </w:p>
        </w:tc>
        <w:tc>
          <w:tcPr>
            <w:tcW w:w="1134" w:type="dxa"/>
          </w:tcPr>
          <w:p w14:paraId="1B58AD65" w14:textId="77777777" w:rsidR="00533DCC" w:rsidRPr="00E73CF5" w:rsidRDefault="00533DCC" w:rsidP="00533DCC">
            <w:pPr>
              <w:jc w:val="center"/>
              <w:rPr>
                <w:sz w:val="20"/>
                <w:szCs w:val="20"/>
              </w:rPr>
            </w:pPr>
            <w:r w:rsidRPr="00E73CF5">
              <w:rPr>
                <w:sz w:val="20"/>
                <w:szCs w:val="20"/>
              </w:rPr>
              <w:t>Colombia</w:t>
            </w:r>
          </w:p>
          <w:p w14:paraId="3400B02E" w14:textId="57A26FE8" w:rsidR="00533DCC" w:rsidRPr="00E73CF5" w:rsidRDefault="00533DCC" w:rsidP="00533DCC">
            <w:pPr>
              <w:jc w:val="center"/>
              <w:rPr>
                <w:sz w:val="20"/>
                <w:szCs w:val="20"/>
              </w:rPr>
            </w:pPr>
          </w:p>
        </w:tc>
        <w:tc>
          <w:tcPr>
            <w:tcW w:w="12049" w:type="dxa"/>
          </w:tcPr>
          <w:p w14:paraId="1973A48D" w14:textId="77777777" w:rsidR="00533DCC" w:rsidRPr="00E73CF5" w:rsidRDefault="00533DCC" w:rsidP="00533DCC">
            <w:pPr>
              <w:rPr>
                <w:sz w:val="20"/>
                <w:szCs w:val="20"/>
              </w:rPr>
            </w:pPr>
            <w:r w:rsidRPr="00E73CF5">
              <w:rPr>
                <w:sz w:val="20"/>
                <w:szCs w:val="20"/>
              </w:rPr>
              <w:t xml:space="preserve">2) The strengthening of the electronic procurement system (SECOP I and II) will continue through online procurement; The development of the intelligent Virtual Agent system for the FAQ (S2); The implementation of the open recruitment data standard; And the establishment of the profile of the public purchaser and the training and certification program for the latter. </w:t>
            </w:r>
            <w:proofErr w:type="gramStart"/>
            <w:r w:rsidRPr="00E73CF5">
              <w:rPr>
                <w:sz w:val="20"/>
                <w:szCs w:val="20"/>
              </w:rPr>
              <w:t>Through the use of</w:t>
            </w:r>
            <w:proofErr w:type="gramEnd"/>
            <w:r w:rsidRPr="00E73CF5">
              <w:rPr>
                <w:sz w:val="20"/>
                <w:szCs w:val="20"/>
              </w:rPr>
              <w:t xml:space="preserve"> innovative technologies, it is sought to increase the amount of information published by contracting entities, to increase the number of entities that are currently publishing their public procurement processes, including non-obligatory subjects that voluntarily decide to do so, and to improve accessibility.</w:t>
            </w:r>
          </w:p>
        </w:tc>
      </w:tr>
      <w:tr w:rsidR="0042315E" w:rsidRPr="00E73CF5" w14:paraId="1126357F" w14:textId="77777777" w:rsidTr="000A5230">
        <w:tc>
          <w:tcPr>
            <w:tcW w:w="1413" w:type="dxa"/>
          </w:tcPr>
          <w:p w14:paraId="34017A2E" w14:textId="77777777" w:rsidR="0042315E" w:rsidRPr="00E73CF5" w:rsidRDefault="0042315E" w:rsidP="0042315E">
            <w:pPr>
              <w:rPr>
                <w:sz w:val="20"/>
                <w:szCs w:val="20"/>
              </w:rPr>
            </w:pPr>
          </w:p>
        </w:tc>
        <w:tc>
          <w:tcPr>
            <w:tcW w:w="1134" w:type="dxa"/>
          </w:tcPr>
          <w:p w14:paraId="756A08DC" w14:textId="77777777" w:rsidR="0042315E" w:rsidRDefault="0042315E" w:rsidP="0042315E">
            <w:pPr>
              <w:jc w:val="center"/>
              <w:rPr>
                <w:sz w:val="20"/>
                <w:szCs w:val="20"/>
              </w:rPr>
            </w:pPr>
            <w:r>
              <w:rPr>
                <w:sz w:val="20"/>
                <w:szCs w:val="20"/>
              </w:rPr>
              <w:t xml:space="preserve">Colombia </w:t>
            </w:r>
          </w:p>
          <w:p w14:paraId="37B8F949" w14:textId="0DABF505" w:rsidR="0042315E" w:rsidRPr="00E73CF5" w:rsidRDefault="0042315E" w:rsidP="0042315E">
            <w:pPr>
              <w:jc w:val="center"/>
              <w:rPr>
                <w:sz w:val="20"/>
                <w:szCs w:val="20"/>
              </w:rPr>
            </w:pPr>
          </w:p>
        </w:tc>
        <w:tc>
          <w:tcPr>
            <w:tcW w:w="12049" w:type="dxa"/>
          </w:tcPr>
          <w:p w14:paraId="4E403B0D" w14:textId="3D52A23B" w:rsidR="0042315E" w:rsidRPr="00E73CF5" w:rsidRDefault="0042315E" w:rsidP="0042315E">
            <w:pPr>
              <w:rPr>
                <w:sz w:val="20"/>
                <w:szCs w:val="20"/>
              </w:rPr>
            </w:pPr>
            <w:r w:rsidRPr="0042315E">
              <w:rPr>
                <w:sz w:val="20"/>
                <w:szCs w:val="20"/>
              </w:rPr>
              <w:t>10</w:t>
            </w:r>
            <w:r>
              <w:rPr>
                <w:sz w:val="20"/>
                <w:szCs w:val="20"/>
              </w:rPr>
              <w:t>)</w:t>
            </w:r>
            <w:r w:rsidRPr="0042315E">
              <w:rPr>
                <w:sz w:val="20"/>
                <w:szCs w:val="20"/>
              </w:rPr>
              <w:t xml:space="preserve"> Publication of the execution of budgets and citizen follow-up scheme (Ministry of Finance and Public Credit National Directorate of National Public Budget).</w:t>
            </w:r>
            <w:r>
              <w:rPr>
                <w:sz w:val="20"/>
                <w:szCs w:val="20"/>
              </w:rPr>
              <w:t xml:space="preserve"> </w:t>
            </w:r>
            <w:r w:rsidRPr="0042315E">
              <w:rPr>
                <w:sz w:val="20"/>
                <w:szCs w:val="20"/>
              </w:rPr>
              <w:t xml:space="preserve">Publicize through the Portal of Economic Transparency the use of public resources and contracts throughout the budget cycle to promote citizen oversight. </w:t>
            </w:r>
          </w:p>
        </w:tc>
      </w:tr>
      <w:tr w:rsidR="0042315E" w:rsidRPr="00E73CF5" w14:paraId="576A496D" w14:textId="77777777" w:rsidTr="000A5230">
        <w:tc>
          <w:tcPr>
            <w:tcW w:w="1413" w:type="dxa"/>
          </w:tcPr>
          <w:p w14:paraId="7002352A" w14:textId="77777777" w:rsidR="0042315E" w:rsidRPr="00E73CF5" w:rsidRDefault="0042315E" w:rsidP="0042315E">
            <w:pPr>
              <w:rPr>
                <w:sz w:val="20"/>
                <w:szCs w:val="20"/>
              </w:rPr>
            </w:pPr>
          </w:p>
        </w:tc>
        <w:tc>
          <w:tcPr>
            <w:tcW w:w="1134" w:type="dxa"/>
          </w:tcPr>
          <w:p w14:paraId="0E2FDC19" w14:textId="77777777" w:rsidR="0042315E" w:rsidRDefault="0042315E" w:rsidP="0042315E">
            <w:pPr>
              <w:jc w:val="center"/>
              <w:rPr>
                <w:sz w:val="20"/>
                <w:szCs w:val="20"/>
              </w:rPr>
            </w:pPr>
            <w:r>
              <w:rPr>
                <w:sz w:val="20"/>
                <w:szCs w:val="20"/>
              </w:rPr>
              <w:t>Colombia</w:t>
            </w:r>
          </w:p>
          <w:p w14:paraId="1FBE7BE7" w14:textId="18E37D36" w:rsidR="0042315E" w:rsidRDefault="0042315E" w:rsidP="0042315E">
            <w:pPr>
              <w:jc w:val="center"/>
              <w:rPr>
                <w:sz w:val="20"/>
                <w:szCs w:val="20"/>
              </w:rPr>
            </w:pPr>
          </w:p>
        </w:tc>
        <w:tc>
          <w:tcPr>
            <w:tcW w:w="12049" w:type="dxa"/>
          </w:tcPr>
          <w:p w14:paraId="238FC0E0" w14:textId="4B8531C2" w:rsidR="0042315E" w:rsidRPr="0042315E" w:rsidRDefault="0042315E" w:rsidP="0042315E">
            <w:pPr>
              <w:rPr>
                <w:sz w:val="20"/>
                <w:szCs w:val="20"/>
              </w:rPr>
            </w:pPr>
            <w:r w:rsidRPr="0042315E">
              <w:rPr>
                <w:sz w:val="20"/>
                <w:szCs w:val="20"/>
              </w:rPr>
              <w:t>13</w:t>
            </w:r>
            <w:r>
              <w:rPr>
                <w:sz w:val="20"/>
                <w:szCs w:val="20"/>
              </w:rPr>
              <w:t>)</w:t>
            </w:r>
            <w:r w:rsidRPr="0042315E">
              <w:rPr>
                <w:sz w:val="20"/>
                <w:szCs w:val="20"/>
              </w:rPr>
              <w:t xml:space="preserve"> Information System for Public Employment Management (Administrative Department of Public Function).</w:t>
            </w:r>
          </w:p>
          <w:p w14:paraId="69A41945" w14:textId="4FD2C09F" w:rsidR="0042315E" w:rsidRPr="0042315E" w:rsidRDefault="0042315E" w:rsidP="0042315E">
            <w:pPr>
              <w:rPr>
                <w:sz w:val="20"/>
                <w:szCs w:val="20"/>
              </w:rPr>
            </w:pPr>
            <w:r w:rsidRPr="0042315E">
              <w:rPr>
                <w:sz w:val="20"/>
                <w:szCs w:val="20"/>
              </w:rPr>
              <w:t>Implement the legal obligation to make visible the resumes of the public servants and those contractors or service providers to state entities.</w:t>
            </w:r>
          </w:p>
        </w:tc>
      </w:tr>
      <w:tr w:rsidR="0042315E" w:rsidRPr="00E73CF5" w14:paraId="78762630" w14:textId="77777777" w:rsidTr="000A5230">
        <w:tc>
          <w:tcPr>
            <w:tcW w:w="1413" w:type="dxa"/>
          </w:tcPr>
          <w:p w14:paraId="01DEFF77" w14:textId="77777777" w:rsidR="0042315E" w:rsidRPr="00E73CF5" w:rsidRDefault="0042315E" w:rsidP="0042315E">
            <w:pPr>
              <w:rPr>
                <w:sz w:val="20"/>
                <w:szCs w:val="20"/>
              </w:rPr>
            </w:pPr>
          </w:p>
        </w:tc>
        <w:tc>
          <w:tcPr>
            <w:tcW w:w="1134" w:type="dxa"/>
          </w:tcPr>
          <w:p w14:paraId="56FF84FD" w14:textId="3036EDFA" w:rsidR="0042315E" w:rsidRPr="00E73CF5" w:rsidRDefault="0042315E" w:rsidP="00EA7718">
            <w:pPr>
              <w:jc w:val="center"/>
              <w:rPr>
                <w:sz w:val="20"/>
                <w:szCs w:val="20"/>
              </w:rPr>
            </w:pPr>
            <w:r w:rsidRPr="00E73CF5">
              <w:rPr>
                <w:sz w:val="20"/>
                <w:szCs w:val="20"/>
              </w:rPr>
              <w:t>Dominican Republic</w:t>
            </w:r>
          </w:p>
        </w:tc>
        <w:tc>
          <w:tcPr>
            <w:tcW w:w="12049" w:type="dxa"/>
          </w:tcPr>
          <w:p w14:paraId="239DD160" w14:textId="77777777" w:rsidR="0042315E" w:rsidRPr="00E73CF5" w:rsidRDefault="0042315E" w:rsidP="0042315E">
            <w:pPr>
              <w:rPr>
                <w:sz w:val="20"/>
                <w:szCs w:val="20"/>
              </w:rPr>
            </w:pPr>
            <w:r w:rsidRPr="00E73CF5">
              <w:rPr>
                <w:sz w:val="20"/>
                <w:szCs w:val="20"/>
              </w:rPr>
              <w:t xml:space="preserve">3) Expand the Transactional Portal of Public Procurement </w:t>
            </w:r>
            <w:proofErr w:type="gramStart"/>
            <w:r w:rsidRPr="00E73CF5">
              <w:rPr>
                <w:sz w:val="20"/>
                <w:szCs w:val="20"/>
              </w:rPr>
              <w:t>so as to</w:t>
            </w:r>
            <w:proofErr w:type="gramEnd"/>
            <w:r w:rsidRPr="00E73CF5">
              <w:rPr>
                <w:sz w:val="20"/>
                <w:szCs w:val="20"/>
              </w:rPr>
              <w:t xml:space="preserve"> automate everything related to the purchasing process, requirements, offers, specifications, etc. of the municipal councils. </w:t>
            </w:r>
          </w:p>
        </w:tc>
      </w:tr>
      <w:tr w:rsidR="0042315E" w:rsidRPr="00E73CF5" w14:paraId="334AFF06" w14:textId="77777777" w:rsidTr="000A5230">
        <w:tc>
          <w:tcPr>
            <w:tcW w:w="1413" w:type="dxa"/>
          </w:tcPr>
          <w:p w14:paraId="67A4093B" w14:textId="77777777" w:rsidR="0042315E" w:rsidRPr="00E73CF5" w:rsidRDefault="0042315E" w:rsidP="0042315E">
            <w:pPr>
              <w:rPr>
                <w:sz w:val="20"/>
                <w:szCs w:val="20"/>
              </w:rPr>
            </w:pPr>
          </w:p>
        </w:tc>
        <w:tc>
          <w:tcPr>
            <w:tcW w:w="1134" w:type="dxa"/>
          </w:tcPr>
          <w:p w14:paraId="1B02F7C6" w14:textId="77777777" w:rsidR="0042315E" w:rsidRPr="00E73CF5" w:rsidRDefault="0042315E" w:rsidP="0042315E">
            <w:pPr>
              <w:jc w:val="center"/>
              <w:rPr>
                <w:rFonts w:ascii="Calibri" w:eastAsia="Times New Roman" w:hAnsi="Calibri" w:cs="Times New Roman"/>
                <w:color w:val="000000"/>
                <w:sz w:val="20"/>
                <w:szCs w:val="20"/>
                <w:lang w:eastAsia="en-NZ"/>
              </w:rPr>
            </w:pPr>
            <w:r w:rsidRPr="00E73CF5">
              <w:rPr>
                <w:rFonts w:ascii="Calibri" w:eastAsia="Times New Roman" w:hAnsi="Calibri" w:cs="Times New Roman"/>
                <w:color w:val="000000"/>
                <w:sz w:val="20"/>
                <w:szCs w:val="20"/>
                <w:lang w:eastAsia="en-NZ"/>
              </w:rPr>
              <w:t>Guatemala</w:t>
            </w:r>
          </w:p>
          <w:p w14:paraId="5BE82A83" w14:textId="4AF673C0" w:rsidR="0042315E" w:rsidRPr="00E73CF5" w:rsidRDefault="0042315E" w:rsidP="0042315E">
            <w:pPr>
              <w:jc w:val="center"/>
              <w:rPr>
                <w:rFonts w:ascii="Calibri" w:eastAsia="Times New Roman" w:hAnsi="Calibri" w:cs="Times New Roman"/>
                <w:color w:val="000000"/>
                <w:sz w:val="20"/>
                <w:szCs w:val="20"/>
                <w:lang w:eastAsia="en-NZ"/>
              </w:rPr>
            </w:pPr>
          </w:p>
        </w:tc>
        <w:tc>
          <w:tcPr>
            <w:tcW w:w="12049" w:type="dxa"/>
            <w:vAlign w:val="bottom"/>
          </w:tcPr>
          <w:p w14:paraId="74B3DDA5" w14:textId="77777777" w:rsidR="0042315E" w:rsidRPr="00E73CF5" w:rsidRDefault="0042315E" w:rsidP="0042315E">
            <w:pPr>
              <w:rPr>
                <w:rFonts w:ascii="Calibri" w:eastAsia="Times New Roman" w:hAnsi="Calibri" w:cs="Times New Roman"/>
                <w:color w:val="000000"/>
                <w:sz w:val="20"/>
                <w:szCs w:val="20"/>
                <w:lang w:eastAsia="en-NZ"/>
              </w:rPr>
            </w:pPr>
            <w:r w:rsidRPr="00E73CF5">
              <w:rPr>
                <w:rFonts w:ascii="Calibri" w:eastAsia="Times New Roman" w:hAnsi="Calibri" w:cs="Times New Roman"/>
                <w:color w:val="000000"/>
                <w:sz w:val="20"/>
                <w:szCs w:val="20"/>
                <w:lang w:eastAsia="en-NZ"/>
              </w:rPr>
              <w:t xml:space="preserve">19) To implement the provisions and procedures that update the </w:t>
            </w:r>
            <w:proofErr w:type="spellStart"/>
            <w:r w:rsidRPr="00E73CF5">
              <w:rPr>
                <w:rFonts w:ascii="Calibri" w:eastAsia="Times New Roman" w:hAnsi="Calibri" w:cs="Times New Roman"/>
                <w:color w:val="000000"/>
                <w:sz w:val="20"/>
                <w:szCs w:val="20"/>
                <w:lang w:eastAsia="en-NZ"/>
              </w:rPr>
              <w:t>Guatecompras</w:t>
            </w:r>
            <w:proofErr w:type="spellEnd"/>
            <w:r w:rsidRPr="00E73CF5">
              <w:rPr>
                <w:rFonts w:ascii="Calibri" w:eastAsia="Times New Roman" w:hAnsi="Calibri" w:cs="Times New Roman"/>
                <w:color w:val="000000"/>
                <w:sz w:val="20"/>
                <w:szCs w:val="20"/>
                <w:lang w:eastAsia="en-NZ"/>
              </w:rPr>
              <w:t xml:space="preserve"> modules, in accordance with the reforms of the State Procurement Law, and to evaluate the appropriateness of adopting the Open Data Standard for Open Contracts, guaranteeing transparency and surrender of counts. To standardize the formats for the different modalities of acquisitions of the </w:t>
            </w:r>
            <w:proofErr w:type="gramStart"/>
            <w:r w:rsidRPr="00E73CF5">
              <w:rPr>
                <w:rFonts w:ascii="Calibri" w:eastAsia="Times New Roman" w:hAnsi="Calibri" w:cs="Times New Roman"/>
                <w:color w:val="000000"/>
                <w:sz w:val="20"/>
                <w:szCs w:val="20"/>
                <w:lang w:eastAsia="en-NZ"/>
              </w:rPr>
              <w:t>State, and</w:t>
            </w:r>
            <w:proofErr w:type="gramEnd"/>
            <w:r w:rsidRPr="00E73CF5">
              <w:rPr>
                <w:rFonts w:ascii="Calibri" w:eastAsia="Times New Roman" w:hAnsi="Calibri" w:cs="Times New Roman"/>
                <w:color w:val="000000"/>
                <w:sz w:val="20"/>
                <w:szCs w:val="20"/>
                <w:lang w:eastAsia="en-NZ"/>
              </w:rPr>
              <w:t xml:space="preserve"> implement the electronic reverse auction and the General Register of State Acquisitions. </w:t>
            </w:r>
          </w:p>
        </w:tc>
      </w:tr>
      <w:tr w:rsidR="0042315E" w:rsidRPr="00E73CF5" w14:paraId="3C0CDE30" w14:textId="77777777" w:rsidTr="000A5230">
        <w:tc>
          <w:tcPr>
            <w:tcW w:w="1413" w:type="dxa"/>
          </w:tcPr>
          <w:p w14:paraId="1412B2BB" w14:textId="77777777" w:rsidR="0042315E" w:rsidRPr="00E73CF5" w:rsidRDefault="0042315E" w:rsidP="0042315E">
            <w:pPr>
              <w:rPr>
                <w:sz w:val="20"/>
                <w:szCs w:val="20"/>
              </w:rPr>
            </w:pPr>
          </w:p>
        </w:tc>
        <w:tc>
          <w:tcPr>
            <w:tcW w:w="1134" w:type="dxa"/>
          </w:tcPr>
          <w:p w14:paraId="2C5F5938" w14:textId="2436964B" w:rsidR="0042315E" w:rsidRPr="00E73CF5" w:rsidRDefault="0042315E" w:rsidP="0042315E">
            <w:pPr>
              <w:jc w:val="center"/>
              <w:rPr>
                <w:rFonts w:ascii="Calibri" w:eastAsia="Times New Roman" w:hAnsi="Calibri" w:cs="Times New Roman"/>
                <w:color w:val="000000"/>
                <w:sz w:val="20"/>
                <w:szCs w:val="20"/>
                <w:lang w:eastAsia="en-NZ"/>
              </w:rPr>
            </w:pPr>
            <w:r>
              <w:rPr>
                <w:rFonts w:ascii="Calibri" w:eastAsia="Times New Roman" w:hAnsi="Calibri" w:cs="Times New Roman"/>
                <w:color w:val="000000"/>
                <w:sz w:val="20"/>
                <w:szCs w:val="20"/>
                <w:lang w:eastAsia="en-NZ"/>
              </w:rPr>
              <w:t>Nigeria</w:t>
            </w:r>
          </w:p>
        </w:tc>
        <w:tc>
          <w:tcPr>
            <w:tcW w:w="12049" w:type="dxa"/>
            <w:vAlign w:val="bottom"/>
          </w:tcPr>
          <w:p w14:paraId="60EE9667" w14:textId="6D1503EC" w:rsidR="0042315E" w:rsidRPr="00533DCC" w:rsidRDefault="0042315E" w:rsidP="0042315E">
            <w:pPr>
              <w:rPr>
                <w:sz w:val="20"/>
                <w:szCs w:val="20"/>
              </w:rPr>
            </w:pPr>
            <w:r w:rsidRPr="00533DCC">
              <w:rPr>
                <w:sz w:val="20"/>
                <w:szCs w:val="20"/>
              </w:rPr>
              <w:t>2</w:t>
            </w:r>
            <w:r>
              <w:rPr>
                <w:sz w:val="20"/>
                <w:szCs w:val="20"/>
              </w:rPr>
              <w:t>)</w:t>
            </w:r>
            <w:r w:rsidRPr="00533DCC">
              <w:rPr>
                <w:sz w:val="20"/>
                <w:szCs w:val="20"/>
              </w:rPr>
              <w:t xml:space="preserve"> Full implementation of Open Contracting and adoption of Open Contracting Data Standards in the public sector (Bureau of Public Procurement). Progressive implementation of open contracting and the adoption of open contracting standards to enhance transparency, accountability and citizen engagement in public procurement and fiscal transparency. In this phase, priority will be given to at least 5-10 MDAs at </w:t>
            </w:r>
            <w:r w:rsidRPr="00533DCC">
              <w:rPr>
                <w:sz w:val="20"/>
                <w:szCs w:val="20"/>
              </w:rPr>
              <w:lastRenderedPageBreak/>
              <w:t>the heart of government development priority (including Power, Transportation, Works, Agriculture, Health, Education, Niger Delta, Environment, and Solid Minerals).</w:t>
            </w:r>
          </w:p>
        </w:tc>
      </w:tr>
      <w:tr w:rsidR="0042315E" w:rsidRPr="00E73CF5" w14:paraId="36AABC7B" w14:textId="77777777" w:rsidTr="000A5230">
        <w:tc>
          <w:tcPr>
            <w:tcW w:w="1413" w:type="dxa"/>
          </w:tcPr>
          <w:p w14:paraId="05A841AC" w14:textId="77777777" w:rsidR="0042315E" w:rsidRPr="00E73CF5" w:rsidRDefault="0042315E" w:rsidP="0042315E">
            <w:pPr>
              <w:rPr>
                <w:sz w:val="20"/>
                <w:szCs w:val="20"/>
              </w:rPr>
            </w:pPr>
          </w:p>
        </w:tc>
        <w:tc>
          <w:tcPr>
            <w:tcW w:w="1134" w:type="dxa"/>
          </w:tcPr>
          <w:p w14:paraId="22EC1C22" w14:textId="52A611AB" w:rsidR="0042315E" w:rsidRPr="00E73CF5" w:rsidRDefault="0042315E" w:rsidP="0042315E">
            <w:pPr>
              <w:jc w:val="center"/>
              <w:rPr>
                <w:sz w:val="20"/>
                <w:szCs w:val="20"/>
              </w:rPr>
            </w:pPr>
            <w:r>
              <w:rPr>
                <w:sz w:val="20"/>
                <w:szCs w:val="20"/>
              </w:rPr>
              <w:t>Ukraine</w:t>
            </w:r>
          </w:p>
        </w:tc>
        <w:tc>
          <w:tcPr>
            <w:tcW w:w="12049" w:type="dxa"/>
          </w:tcPr>
          <w:p w14:paraId="5700041D" w14:textId="4CCC30B6" w:rsidR="0042315E" w:rsidRPr="00E73CF5" w:rsidRDefault="0042315E" w:rsidP="000A5230">
            <w:pPr>
              <w:rPr>
                <w:sz w:val="20"/>
                <w:szCs w:val="20"/>
              </w:rPr>
            </w:pPr>
            <w:r w:rsidRPr="0042315E">
              <w:rPr>
                <w:sz w:val="20"/>
                <w:szCs w:val="20"/>
              </w:rPr>
              <w:t>6</w:t>
            </w:r>
            <w:r>
              <w:rPr>
                <w:sz w:val="20"/>
                <w:szCs w:val="20"/>
              </w:rPr>
              <w:t>)</w:t>
            </w:r>
            <w:r w:rsidRPr="0042315E">
              <w:rPr>
                <w:sz w:val="20"/>
                <w:szCs w:val="20"/>
              </w:rPr>
              <w:t xml:space="preserve"> Introduce the Construction Sector Transparency Initiative (</w:t>
            </w:r>
            <w:proofErr w:type="spellStart"/>
            <w:r w:rsidRPr="0042315E">
              <w:rPr>
                <w:sz w:val="20"/>
                <w:szCs w:val="20"/>
              </w:rPr>
              <w:t>CoST</w:t>
            </w:r>
            <w:proofErr w:type="spellEnd"/>
            <w:r w:rsidRPr="0042315E">
              <w:rPr>
                <w:sz w:val="20"/>
                <w:szCs w:val="20"/>
              </w:rPr>
              <w:t>)</w:t>
            </w:r>
            <w:r>
              <w:rPr>
                <w:sz w:val="20"/>
                <w:szCs w:val="20"/>
              </w:rPr>
              <w:t xml:space="preserve">. </w:t>
            </w:r>
            <w:r w:rsidRPr="0042315E">
              <w:rPr>
                <w:sz w:val="20"/>
                <w:szCs w:val="20"/>
              </w:rPr>
              <w:t xml:space="preserve"> Implement </w:t>
            </w:r>
            <w:proofErr w:type="spellStart"/>
            <w:r w:rsidRPr="0042315E">
              <w:rPr>
                <w:sz w:val="20"/>
                <w:szCs w:val="20"/>
              </w:rPr>
              <w:t>CoST</w:t>
            </w:r>
            <w:proofErr w:type="spellEnd"/>
            <w:r w:rsidRPr="0042315E">
              <w:rPr>
                <w:sz w:val="20"/>
                <w:szCs w:val="20"/>
              </w:rPr>
              <w:t xml:space="preserve"> to ensure the accountability of procurement organizations and open access to information during publicly funded construction work, initially through four pilot projects.</w:t>
            </w:r>
          </w:p>
        </w:tc>
      </w:tr>
      <w:tr w:rsidR="0042315E" w:rsidRPr="00E73CF5" w14:paraId="6A4AAA67" w14:textId="77777777" w:rsidTr="000A5230">
        <w:tc>
          <w:tcPr>
            <w:tcW w:w="1413" w:type="dxa"/>
          </w:tcPr>
          <w:p w14:paraId="5F265B39" w14:textId="77777777" w:rsidR="0042315E" w:rsidRPr="00E73CF5" w:rsidRDefault="0042315E" w:rsidP="0042315E">
            <w:pPr>
              <w:rPr>
                <w:sz w:val="20"/>
                <w:szCs w:val="20"/>
              </w:rPr>
            </w:pPr>
          </w:p>
        </w:tc>
        <w:tc>
          <w:tcPr>
            <w:tcW w:w="1134" w:type="dxa"/>
          </w:tcPr>
          <w:p w14:paraId="5D8695F0" w14:textId="77777777" w:rsidR="0042315E" w:rsidRPr="00E73CF5" w:rsidRDefault="0042315E" w:rsidP="0042315E">
            <w:pPr>
              <w:jc w:val="center"/>
              <w:rPr>
                <w:sz w:val="20"/>
                <w:szCs w:val="20"/>
              </w:rPr>
            </w:pPr>
            <w:r w:rsidRPr="00E73CF5">
              <w:rPr>
                <w:sz w:val="20"/>
                <w:szCs w:val="20"/>
              </w:rPr>
              <w:t>Uruguay</w:t>
            </w:r>
          </w:p>
          <w:p w14:paraId="0F32F82D" w14:textId="6BC36131" w:rsidR="0042315E" w:rsidRPr="00E73CF5" w:rsidRDefault="0042315E" w:rsidP="0042315E">
            <w:pPr>
              <w:jc w:val="center"/>
              <w:rPr>
                <w:sz w:val="20"/>
                <w:szCs w:val="20"/>
              </w:rPr>
            </w:pPr>
          </w:p>
        </w:tc>
        <w:tc>
          <w:tcPr>
            <w:tcW w:w="12049" w:type="dxa"/>
          </w:tcPr>
          <w:p w14:paraId="31677D9C" w14:textId="77777777" w:rsidR="0042315E" w:rsidRPr="00E73CF5" w:rsidRDefault="0042315E" w:rsidP="0042315E">
            <w:pPr>
              <w:rPr>
                <w:sz w:val="20"/>
                <w:szCs w:val="20"/>
              </w:rPr>
            </w:pPr>
            <w:r w:rsidRPr="00E73CF5">
              <w:rPr>
                <w:sz w:val="20"/>
                <w:szCs w:val="20"/>
              </w:rPr>
              <w:t xml:space="preserve">11) Adaptation of the format of the currently published open data to the Open Contracting standard for the Call and Award phases. Determination of the set of agencies of the State that, through activity 1 and ensuring the publication of the necessary information, reach the level of maturity 4 of the standard for the phases Call and Adjudication. Dissemination activities. Support to user workshops. </w:t>
            </w:r>
          </w:p>
        </w:tc>
      </w:tr>
      <w:tr w:rsidR="0042315E" w:rsidRPr="00E73CF5" w14:paraId="7F5394AC" w14:textId="77777777" w:rsidTr="000A5230">
        <w:tc>
          <w:tcPr>
            <w:tcW w:w="1413" w:type="dxa"/>
          </w:tcPr>
          <w:p w14:paraId="4D781E5D" w14:textId="77777777" w:rsidR="0042315E" w:rsidRPr="00E73CF5" w:rsidRDefault="0042315E" w:rsidP="0042315E">
            <w:pPr>
              <w:rPr>
                <w:sz w:val="20"/>
                <w:szCs w:val="20"/>
              </w:rPr>
            </w:pPr>
          </w:p>
        </w:tc>
        <w:tc>
          <w:tcPr>
            <w:tcW w:w="1134" w:type="dxa"/>
          </w:tcPr>
          <w:p w14:paraId="51C697D0" w14:textId="2D5561DD" w:rsidR="0042315E" w:rsidRPr="00E73CF5" w:rsidRDefault="0042315E" w:rsidP="00EA7718">
            <w:pPr>
              <w:jc w:val="center"/>
              <w:rPr>
                <w:sz w:val="20"/>
                <w:szCs w:val="20"/>
              </w:rPr>
            </w:pPr>
            <w:r w:rsidRPr="00E73CF5">
              <w:rPr>
                <w:sz w:val="20"/>
                <w:szCs w:val="20"/>
              </w:rPr>
              <w:t>USA</w:t>
            </w:r>
          </w:p>
        </w:tc>
        <w:tc>
          <w:tcPr>
            <w:tcW w:w="12049" w:type="dxa"/>
          </w:tcPr>
          <w:p w14:paraId="4ABAE798" w14:textId="2ED8CC75" w:rsidR="0042315E" w:rsidRPr="00E73CF5" w:rsidRDefault="0042315E" w:rsidP="0042315E">
            <w:pPr>
              <w:rPr>
                <w:sz w:val="20"/>
                <w:szCs w:val="20"/>
              </w:rPr>
            </w:pPr>
            <w:r>
              <w:rPr>
                <w:sz w:val="20"/>
                <w:szCs w:val="20"/>
              </w:rPr>
              <w:t>47) Open contracting</w:t>
            </w:r>
            <w:r w:rsidR="00110B58">
              <w:rPr>
                <w:sz w:val="20"/>
                <w:szCs w:val="20"/>
              </w:rPr>
              <w:t xml:space="preserve"> (</w:t>
            </w:r>
            <w:r>
              <w:rPr>
                <w:sz w:val="20"/>
                <w:szCs w:val="20"/>
              </w:rPr>
              <w:t>improve data</w:t>
            </w:r>
            <w:r w:rsidR="00110B58">
              <w:rPr>
                <w:sz w:val="20"/>
                <w:szCs w:val="20"/>
              </w:rPr>
              <w:t>)</w:t>
            </w:r>
            <w:r>
              <w:rPr>
                <w:sz w:val="20"/>
                <w:szCs w:val="20"/>
              </w:rPr>
              <w:t>.</w:t>
            </w:r>
          </w:p>
        </w:tc>
      </w:tr>
      <w:tr w:rsidR="0042315E" w:rsidRPr="00E73CF5" w14:paraId="0B316D67" w14:textId="77777777" w:rsidTr="000A5230">
        <w:tc>
          <w:tcPr>
            <w:tcW w:w="1413" w:type="dxa"/>
          </w:tcPr>
          <w:p w14:paraId="141DF81E" w14:textId="77777777" w:rsidR="0042315E" w:rsidRPr="00E73CF5" w:rsidRDefault="0042315E" w:rsidP="0042315E">
            <w:pPr>
              <w:rPr>
                <w:b/>
                <w:sz w:val="20"/>
                <w:szCs w:val="20"/>
              </w:rPr>
            </w:pPr>
            <w:r w:rsidRPr="00E73CF5">
              <w:rPr>
                <w:b/>
                <w:sz w:val="20"/>
                <w:szCs w:val="20"/>
              </w:rPr>
              <w:t xml:space="preserve">HLP 7: Clarity of roles </w:t>
            </w:r>
          </w:p>
        </w:tc>
        <w:tc>
          <w:tcPr>
            <w:tcW w:w="1134" w:type="dxa"/>
          </w:tcPr>
          <w:p w14:paraId="5CC45B9C" w14:textId="77777777" w:rsidR="0042315E" w:rsidRPr="00E73CF5" w:rsidRDefault="0042315E" w:rsidP="0042315E">
            <w:pPr>
              <w:jc w:val="center"/>
              <w:rPr>
                <w:rFonts w:ascii="Calibri" w:eastAsia="Times New Roman" w:hAnsi="Calibri" w:cs="Times New Roman"/>
                <w:color w:val="000000"/>
                <w:sz w:val="20"/>
                <w:szCs w:val="20"/>
                <w:lang w:eastAsia="en-NZ"/>
              </w:rPr>
            </w:pPr>
          </w:p>
        </w:tc>
        <w:tc>
          <w:tcPr>
            <w:tcW w:w="12049" w:type="dxa"/>
            <w:vAlign w:val="bottom"/>
          </w:tcPr>
          <w:p w14:paraId="73FB4FCD" w14:textId="77777777" w:rsidR="0042315E" w:rsidRPr="00E73CF5" w:rsidRDefault="0042315E" w:rsidP="0042315E">
            <w:pPr>
              <w:rPr>
                <w:rFonts w:ascii="Calibri" w:eastAsia="Times New Roman" w:hAnsi="Calibri" w:cs="Times New Roman"/>
                <w:color w:val="000000"/>
                <w:sz w:val="20"/>
                <w:szCs w:val="20"/>
                <w:lang w:eastAsia="en-NZ"/>
              </w:rPr>
            </w:pPr>
          </w:p>
        </w:tc>
      </w:tr>
      <w:tr w:rsidR="0042315E" w:rsidRPr="00E73CF5" w14:paraId="5E0CB34D" w14:textId="77777777" w:rsidTr="000A5230">
        <w:tc>
          <w:tcPr>
            <w:tcW w:w="1413" w:type="dxa"/>
          </w:tcPr>
          <w:p w14:paraId="161EE1F1" w14:textId="77777777" w:rsidR="0042315E" w:rsidRPr="00E73CF5" w:rsidRDefault="0042315E" w:rsidP="0042315E">
            <w:pPr>
              <w:rPr>
                <w:b/>
                <w:sz w:val="20"/>
                <w:szCs w:val="20"/>
              </w:rPr>
            </w:pPr>
          </w:p>
        </w:tc>
        <w:tc>
          <w:tcPr>
            <w:tcW w:w="1134" w:type="dxa"/>
          </w:tcPr>
          <w:p w14:paraId="39CE9D63" w14:textId="77777777" w:rsidR="0042315E" w:rsidRPr="00E73CF5" w:rsidRDefault="0042315E" w:rsidP="0042315E">
            <w:pPr>
              <w:jc w:val="center"/>
              <w:rPr>
                <w:sz w:val="20"/>
                <w:szCs w:val="20"/>
              </w:rPr>
            </w:pPr>
            <w:r w:rsidRPr="00E73CF5">
              <w:rPr>
                <w:sz w:val="20"/>
                <w:szCs w:val="20"/>
              </w:rPr>
              <w:t>Guatemala</w:t>
            </w:r>
          </w:p>
          <w:p w14:paraId="4678B9B4" w14:textId="4E2865B1" w:rsidR="0042315E" w:rsidRPr="00E73CF5" w:rsidRDefault="0042315E" w:rsidP="0042315E">
            <w:pPr>
              <w:jc w:val="center"/>
              <w:rPr>
                <w:sz w:val="20"/>
                <w:szCs w:val="20"/>
              </w:rPr>
            </w:pPr>
          </w:p>
        </w:tc>
        <w:tc>
          <w:tcPr>
            <w:tcW w:w="12049" w:type="dxa"/>
          </w:tcPr>
          <w:p w14:paraId="207906F5" w14:textId="77777777" w:rsidR="0042315E" w:rsidRPr="00E73CF5" w:rsidRDefault="0042315E" w:rsidP="0042315E">
            <w:pPr>
              <w:rPr>
                <w:sz w:val="20"/>
                <w:szCs w:val="20"/>
              </w:rPr>
            </w:pPr>
            <w:r w:rsidRPr="00E73CF5">
              <w:rPr>
                <w:sz w:val="20"/>
                <w:szCs w:val="20"/>
              </w:rPr>
              <w:t xml:space="preserve">21) To strengthen primary health care following the prohibition of public sector entities from contracting with public resources through NGOs, a modality that allowed manipulation of resources in environment of impunity, opacity and corruption. To know the process of planning and implementation of primary health care emphasizing territorial ordering, resource gaps, financing and budget reorganization and human resource. </w:t>
            </w:r>
          </w:p>
        </w:tc>
      </w:tr>
      <w:tr w:rsidR="0042315E" w:rsidRPr="00E73CF5" w14:paraId="08EDE245" w14:textId="77777777" w:rsidTr="000A5230">
        <w:tc>
          <w:tcPr>
            <w:tcW w:w="1413" w:type="dxa"/>
          </w:tcPr>
          <w:p w14:paraId="71DD938D" w14:textId="77777777" w:rsidR="0042315E" w:rsidRPr="00E73CF5" w:rsidRDefault="0042315E" w:rsidP="0042315E">
            <w:pPr>
              <w:rPr>
                <w:b/>
                <w:sz w:val="20"/>
                <w:szCs w:val="20"/>
              </w:rPr>
            </w:pPr>
          </w:p>
        </w:tc>
        <w:tc>
          <w:tcPr>
            <w:tcW w:w="1134" w:type="dxa"/>
          </w:tcPr>
          <w:p w14:paraId="4B90CAB8" w14:textId="77777777" w:rsidR="0042315E" w:rsidRDefault="0042315E" w:rsidP="0042315E">
            <w:pPr>
              <w:jc w:val="center"/>
              <w:rPr>
                <w:rFonts w:ascii="Calibri" w:eastAsia="Times New Roman" w:hAnsi="Calibri" w:cs="Times New Roman"/>
                <w:color w:val="000000"/>
                <w:sz w:val="20"/>
                <w:szCs w:val="20"/>
                <w:lang w:eastAsia="en-NZ"/>
              </w:rPr>
            </w:pPr>
            <w:r>
              <w:rPr>
                <w:rFonts w:ascii="Calibri" w:eastAsia="Times New Roman" w:hAnsi="Calibri" w:cs="Times New Roman"/>
                <w:color w:val="000000"/>
                <w:sz w:val="20"/>
                <w:szCs w:val="20"/>
                <w:lang w:eastAsia="en-NZ"/>
              </w:rPr>
              <w:t>Philippines</w:t>
            </w:r>
          </w:p>
          <w:p w14:paraId="2E4ACD8E" w14:textId="43701B12" w:rsidR="00257271" w:rsidRPr="00E73CF5" w:rsidRDefault="00257271" w:rsidP="0042315E">
            <w:pPr>
              <w:jc w:val="center"/>
              <w:rPr>
                <w:rFonts w:ascii="Calibri" w:eastAsia="Times New Roman" w:hAnsi="Calibri" w:cs="Times New Roman"/>
                <w:color w:val="000000"/>
                <w:sz w:val="20"/>
                <w:szCs w:val="20"/>
                <w:lang w:eastAsia="en-NZ"/>
              </w:rPr>
            </w:pPr>
            <w:r>
              <w:rPr>
                <w:rFonts w:ascii="Calibri" w:eastAsia="Times New Roman" w:hAnsi="Calibri" w:cs="Times New Roman"/>
                <w:color w:val="000000"/>
                <w:sz w:val="20"/>
                <w:szCs w:val="20"/>
                <w:lang w:eastAsia="en-NZ"/>
              </w:rPr>
              <w:t>(3)</w:t>
            </w:r>
          </w:p>
        </w:tc>
        <w:tc>
          <w:tcPr>
            <w:tcW w:w="12049" w:type="dxa"/>
          </w:tcPr>
          <w:p w14:paraId="06BC82AD" w14:textId="638BB7CC" w:rsidR="0042315E" w:rsidRPr="00E73CF5" w:rsidRDefault="0042315E" w:rsidP="0042315E">
            <w:pPr>
              <w:rPr>
                <w:rFonts w:ascii="Calibri" w:eastAsia="Times New Roman" w:hAnsi="Calibri" w:cs="Times New Roman"/>
                <w:color w:val="000000"/>
                <w:sz w:val="20"/>
                <w:szCs w:val="20"/>
                <w:lang w:eastAsia="en-NZ"/>
              </w:rPr>
            </w:pPr>
            <w:r>
              <w:rPr>
                <w:sz w:val="20"/>
                <w:szCs w:val="20"/>
              </w:rPr>
              <w:t xml:space="preserve">8) </w:t>
            </w:r>
            <w:r w:rsidRPr="009C24E5">
              <w:rPr>
                <w:sz w:val="20"/>
                <w:szCs w:val="20"/>
              </w:rPr>
              <w:t>The B</w:t>
            </w:r>
            <w:r>
              <w:rPr>
                <w:sz w:val="20"/>
                <w:szCs w:val="20"/>
              </w:rPr>
              <w:t>udget Reform Bill</w:t>
            </w:r>
            <w:r w:rsidRPr="009C24E5">
              <w:rPr>
                <w:sz w:val="20"/>
                <w:szCs w:val="20"/>
              </w:rPr>
              <w:t xml:space="preserve"> aims to strengthen Congress’ power of the purse by enforcing the Constitutional policy that all expenditures must be approved by Congress; and by enabling Congress to review and approve proposed appropriations based clearly defined performance information and regular reports on actual performance.</w:t>
            </w:r>
          </w:p>
        </w:tc>
      </w:tr>
      <w:tr w:rsidR="0042315E" w:rsidRPr="00E73CF5" w14:paraId="3FA5BBED" w14:textId="77777777" w:rsidTr="000A5230">
        <w:tc>
          <w:tcPr>
            <w:tcW w:w="1413" w:type="dxa"/>
          </w:tcPr>
          <w:p w14:paraId="290E261E" w14:textId="77777777" w:rsidR="0042315E" w:rsidRPr="00E73CF5" w:rsidRDefault="0042315E" w:rsidP="0042315E">
            <w:pPr>
              <w:rPr>
                <w:b/>
                <w:sz w:val="20"/>
                <w:szCs w:val="20"/>
              </w:rPr>
            </w:pPr>
          </w:p>
        </w:tc>
        <w:tc>
          <w:tcPr>
            <w:tcW w:w="1134" w:type="dxa"/>
          </w:tcPr>
          <w:p w14:paraId="1ED91774" w14:textId="77777777" w:rsidR="0042315E" w:rsidRPr="00E73CF5" w:rsidRDefault="0042315E" w:rsidP="0042315E">
            <w:pPr>
              <w:jc w:val="center"/>
              <w:rPr>
                <w:sz w:val="20"/>
                <w:szCs w:val="20"/>
              </w:rPr>
            </w:pPr>
            <w:r w:rsidRPr="00E73CF5">
              <w:rPr>
                <w:sz w:val="20"/>
                <w:szCs w:val="20"/>
              </w:rPr>
              <w:t>USA</w:t>
            </w:r>
          </w:p>
          <w:p w14:paraId="09658CB8" w14:textId="7ED2122F" w:rsidR="0042315E" w:rsidRPr="00E73CF5" w:rsidRDefault="0042315E" w:rsidP="0042315E">
            <w:pPr>
              <w:jc w:val="center"/>
              <w:rPr>
                <w:sz w:val="20"/>
                <w:szCs w:val="20"/>
              </w:rPr>
            </w:pPr>
          </w:p>
        </w:tc>
        <w:tc>
          <w:tcPr>
            <w:tcW w:w="12049" w:type="dxa"/>
          </w:tcPr>
          <w:p w14:paraId="17D41E93" w14:textId="77777777" w:rsidR="0042315E" w:rsidRPr="00E73CF5" w:rsidRDefault="0042315E" w:rsidP="0042315E">
            <w:pPr>
              <w:rPr>
                <w:sz w:val="20"/>
                <w:szCs w:val="20"/>
              </w:rPr>
            </w:pPr>
            <w:r w:rsidRPr="00E73CF5">
              <w:rPr>
                <w:sz w:val="20"/>
                <w:szCs w:val="20"/>
              </w:rPr>
              <w:t xml:space="preserve">7) Open311 is a shared open platform that allows citizens to find government services and report problems. To reduce the burden of navigating the separation between local and Federal government, the USA.gov Contact </w:t>
            </w:r>
            <w:proofErr w:type="spellStart"/>
            <w:r w:rsidRPr="00E73CF5">
              <w:rPr>
                <w:sz w:val="20"/>
                <w:szCs w:val="20"/>
              </w:rPr>
              <w:t>Center</w:t>
            </w:r>
            <w:proofErr w:type="spellEnd"/>
            <w:r w:rsidRPr="00E73CF5">
              <w:rPr>
                <w:sz w:val="20"/>
                <w:szCs w:val="20"/>
              </w:rPr>
              <w:t xml:space="preserve"> at the General Services Administration will use Open311 to expand avenues for public participation and provide more transparency in government service delivery across both local and Federal governments. More than a dozen cities have already adopted Open311 and additional cities are committing to implement it including San Diego, Philadelphia, and New York City.</w:t>
            </w:r>
          </w:p>
        </w:tc>
      </w:tr>
      <w:tr w:rsidR="0042315E" w:rsidRPr="00E73CF5" w14:paraId="37B6E199" w14:textId="77777777" w:rsidTr="000A5230">
        <w:trPr>
          <w:trHeight w:val="758"/>
        </w:trPr>
        <w:tc>
          <w:tcPr>
            <w:tcW w:w="1413" w:type="dxa"/>
          </w:tcPr>
          <w:p w14:paraId="54275AB9" w14:textId="77777777" w:rsidR="0042315E" w:rsidRPr="00E73CF5" w:rsidRDefault="0042315E" w:rsidP="0042315E">
            <w:pPr>
              <w:rPr>
                <w:b/>
                <w:sz w:val="20"/>
                <w:szCs w:val="20"/>
              </w:rPr>
            </w:pPr>
            <w:r w:rsidRPr="00E73CF5">
              <w:rPr>
                <w:b/>
                <w:sz w:val="20"/>
                <w:szCs w:val="20"/>
              </w:rPr>
              <w:t>HLP 8: Legislative Oversight</w:t>
            </w:r>
          </w:p>
        </w:tc>
        <w:tc>
          <w:tcPr>
            <w:tcW w:w="1134" w:type="dxa"/>
          </w:tcPr>
          <w:p w14:paraId="04D04D11" w14:textId="77777777" w:rsidR="0042315E" w:rsidRPr="00E73CF5" w:rsidRDefault="0042315E" w:rsidP="0042315E">
            <w:pPr>
              <w:jc w:val="center"/>
              <w:rPr>
                <w:sz w:val="20"/>
                <w:szCs w:val="20"/>
              </w:rPr>
            </w:pPr>
          </w:p>
        </w:tc>
        <w:tc>
          <w:tcPr>
            <w:tcW w:w="12049" w:type="dxa"/>
          </w:tcPr>
          <w:p w14:paraId="46294131" w14:textId="77777777" w:rsidR="0042315E" w:rsidRPr="00E73CF5" w:rsidRDefault="0042315E" w:rsidP="0042315E">
            <w:pPr>
              <w:rPr>
                <w:sz w:val="20"/>
                <w:szCs w:val="20"/>
              </w:rPr>
            </w:pPr>
          </w:p>
        </w:tc>
      </w:tr>
      <w:tr w:rsidR="0042315E" w:rsidRPr="00E73CF5" w14:paraId="1A95B4C4" w14:textId="77777777" w:rsidTr="000A5230">
        <w:tc>
          <w:tcPr>
            <w:tcW w:w="1413" w:type="dxa"/>
          </w:tcPr>
          <w:p w14:paraId="0E9150DC" w14:textId="77777777" w:rsidR="0042315E" w:rsidRPr="00E73CF5" w:rsidRDefault="0042315E" w:rsidP="0042315E">
            <w:pPr>
              <w:rPr>
                <w:b/>
                <w:sz w:val="20"/>
                <w:szCs w:val="20"/>
              </w:rPr>
            </w:pPr>
          </w:p>
        </w:tc>
        <w:tc>
          <w:tcPr>
            <w:tcW w:w="1134" w:type="dxa"/>
          </w:tcPr>
          <w:p w14:paraId="77D7AFEE" w14:textId="710D2799" w:rsidR="0042315E" w:rsidRDefault="0042315E" w:rsidP="0042315E">
            <w:pPr>
              <w:jc w:val="center"/>
              <w:rPr>
                <w:sz w:val="20"/>
                <w:szCs w:val="20"/>
              </w:rPr>
            </w:pPr>
            <w:r>
              <w:rPr>
                <w:sz w:val="20"/>
                <w:szCs w:val="20"/>
              </w:rPr>
              <w:t>Nigeria</w:t>
            </w:r>
          </w:p>
        </w:tc>
        <w:tc>
          <w:tcPr>
            <w:tcW w:w="12049" w:type="dxa"/>
          </w:tcPr>
          <w:p w14:paraId="28853D84" w14:textId="329D4DE8" w:rsidR="0042315E" w:rsidRPr="009C24E5" w:rsidRDefault="0042315E" w:rsidP="0042315E">
            <w:pPr>
              <w:rPr>
                <w:sz w:val="20"/>
                <w:szCs w:val="20"/>
              </w:rPr>
            </w:pPr>
            <w:r w:rsidRPr="00533DCC">
              <w:rPr>
                <w:sz w:val="20"/>
                <w:szCs w:val="20"/>
              </w:rPr>
              <w:t>1</w:t>
            </w:r>
            <w:r>
              <w:rPr>
                <w:sz w:val="20"/>
                <w:szCs w:val="20"/>
              </w:rPr>
              <w:t>)</w:t>
            </w:r>
            <w:r w:rsidRPr="00533DCC">
              <w:rPr>
                <w:sz w:val="20"/>
                <w:szCs w:val="20"/>
              </w:rPr>
              <w:t xml:space="preserve"> Ensure more effective citizens’ participation across the entire budget cycle (Federal Ministry of Budget and National Planning). </w:t>
            </w:r>
            <w:r>
              <w:rPr>
                <w:sz w:val="20"/>
                <w:szCs w:val="20"/>
              </w:rPr>
              <w:t>E</w:t>
            </w:r>
            <w:r w:rsidRPr="00533DCC">
              <w:rPr>
                <w:sz w:val="20"/>
                <w:szCs w:val="20"/>
              </w:rPr>
              <w:t xml:space="preserve">nsure that citizens participate and make inputs into the budget process starting with the pre-budget statement, executive budget proposal, budget debate through public hearings in the legislature, implementation, monitoring and reporting of the budget. Budget information should also be made accessible to all. </w:t>
            </w:r>
          </w:p>
        </w:tc>
      </w:tr>
      <w:tr w:rsidR="0042315E" w:rsidRPr="00E73CF5" w14:paraId="326EA5F2" w14:textId="77777777" w:rsidTr="000A5230">
        <w:tc>
          <w:tcPr>
            <w:tcW w:w="1413" w:type="dxa"/>
          </w:tcPr>
          <w:p w14:paraId="7DF97A87" w14:textId="77777777" w:rsidR="0042315E" w:rsidRPr="00E73CF5" w:rsidRDefault="0042315E" w:rsidP="0042315E">
            <w:pPr>
              <w:rPr>
                <w:b/>
                <w:sz w:val="20"/>
                <w:szCs w:val="20"/>
              </w:rPr>
            </w:pPr>
          </w:p>
        </w:tc>
        <w:tc>
          <w:tcPr>
            <w:tcW w:w="1134" w:type="dxa"/>
          </w:tcPr>
          <w:p w14:paraId="4C8F5425" w14:textId="77777777" w:rsidR="0042315E" w:rsidRDefault="0042315E" w:rsidP="0042315E">
            <w:pPr>
              <w:jc w:val="center"/>
              <w:rPr>
                <w:sz w:val="20"/>
                <w:szCs w:val="20"/>
              </w:rPr>
            </w:pPr>
            <w:r>
              <w:rPr>
                <w:sz w:val="20"/>
                <w:szCs w:val="20"/>
              </w:rPr>
              <w:t xml:space="preserve">Philippines </w:t>
            </w:r>
          </w:p>
          <w:p w14:paraId="01C6A842" w14:textId="5C10A1F0" w:rsidR="0042315E" w:rsidRPr="00E73CF5" w:rsidRDefault="0042315E" w:rsidP="0042315E">
            <w:pPr>
              <w:jc w:val="center"/>
              <w:rPr>
                <w:sz w:val="20"/>
                <w:szCs w:val="20"/>
              </w:rPr>
            </w:pPr>
          </w:p>
        </w:tc>
        <w:tc>
          <w:tcPr>
            <w:tcW w:w="12049" w:type="dxa"/>
          </w:tcPr>
          <w:p w14:paraId="71C29CF2" w14:textId="77777777" w:rsidR="0042315E" w:rsidRPr="009C24E5" w:rsidRDefault="0042315E" w:rsidP="0042315E">
            <w:pPr>
              <w:rPr>
                <w:sz w:val="20"/>
                <w:szCs w:val="20"/>
              </w:rPr>
            </w:pPr>
            <w:r w:rsidRPr="009C24E5">
              <w:rPr>
                <w:sz w:val="20"/>
                <w:szCs w:val="20"/>
              </w:rPr>
              <w:t>8</w:t>
            </w:r>
            <w:r>
              <w:rPr>
                <w:sz w:val="20"/>
                <w:szCs w:val="20"/>
              </w:rPr>
              <w:t>)</w:t>
            </w:r>
            <w:r w:rsidRPr="009C24E5">
              <w:rPr>
                <w:sz w:val="20"/>
                <w:szCs w:val="20"/>
              </w:rPr>
              <w:t>. Open Budget Index and Budget Reform Bill (Department of Budget and Management).</w:t>
            </w:r>
          </w:p>
          <w:p w14:paraId="3D3196B0" w14:textId="2167ECED" w:rsidR="0042315E" w:rsidRPr="00E73CF5" w:rsidRDefault="0042315E" w:rsidP="0042315E">
            <w:pPr>
              <w:rPr>
                <w:sz w:val="20"/>
                <w:szCs w:val="20"/>
              </w:rPr>
            </w:pPr>
            <w:r w:rsidRPr="009C24E5">
              <w:rPr>
                <w:sz w:val="20"/>
                <w:szCs w:val="20"/>
              </w:rPr>
              <w:t>This commitment aims to reform the budget process by enforcing greater accountability in public financial management, strengthening Congress’ power of the purse, instituting an integrated PFM system, and increasing budget transparency and participation. This will be done by improving the Philippines’ performance in the Open Budget Survey and shepherding the passage of the Budget Reform Bill (BRB) in Congress. The BRB aims to strengthen Congress’ power of the purse by enforcing the Constitutional policy that all expenditures must be approved by Congress; and by enabling Congress to review and approve proposed appropriations based clearly defined performance information and regular reports on actual performance. The Bill also secures the irreversibility of PFM reforms so far.</w:t>
            </w:r>
          </w:p>
        </w:tc>
      </w:tr>
      <w:tr w:rsidR="0042315E" w:rsidRPr="00E73CF5" w14:paraId="28055D98" w14:textId="77777777" w:rsidTr="000A5230">
        <w:tc>
          <w:tcPr>
            <w:tcW w:w="1413" w:type="dxa"/>
          </w:tcPr>
          <w:p w14:paraId="59E114BF" w14:textId="77777777" w:rsidR="0042315E" w:rsidRPr="00E73CF5" w:rsidRDefault="0042315E" w:rsidP="0042315E">
            <w:pPr>
              <w:rPr>
                <w:b/>
                <w:sz w:val="20"/>
                <w:szCs w:val="20"/>
              </w:rPr>
            </w:pPr>
            <w:r w:rsidRPr="00E73CF5">
              <w:rPr>
                <w:b/>
                <w:sz w:val="20"/>
                <w:szCs w:val="20"/>
              </w:rPr>
              <w:lastRenderedPageBreak/>
              <w:t xml:space="preserve">HLP 9: Independent Audit </w:t>
            </w:r>
          </w:p>
        </w:tc>
        <w:tc>
          <w:tcPr>
            <w:tcW w:w="1134" w:type="dxa"/>
          </w:tcPr>
          <w:p w14:paraId="2AE5C971" w14:textId="77777777" w:rsidR="0042315E" w:rsidRPr="00E73CF5" w:rsidRDefault="0042315E" w:rsidP="0042315E">
            <w:pPr>
              <w:jc w:val="center"/>
              <w:rPr>
                <w:sz w:val="20"/>
                <w:szCs w:val="20"/>
              </w:rPr>
            </w:pPr>
          </w:p>
        </w:tc>
        <w:tc>
          <w:tcPr>
            <w:tcW w:w="12049" w:type="dxa"/>
          </w:tcPr>
          <w:p w14:paraId="4C6DB6A9" w14:textId="77777777" w:rsidR="0042315E" w:rsidRPr="00E73CF5" w:rsidRDefault="0042315E" w:rsidP="0042315E">
            <w:pPr>
              <w:rPr>
                <w:sz w:val="20"/>
                <w:szCs w:val="20"/>
              </w:rPr>
            </w:pPr>
          </w:p>
        </w:tc>
      </w:tr>
      <w:tr w:rsidR="0042315E" w:rsidRPr="00E73CF5" w14:paraId="78DBDFEF" w14:textId="77777777" w:rsidTr="000A5230">
        <w:tc>
          <w:tcPr>
            <w:tcW w:w="1413" w:type="dxa"/>
          </w:tcPr>
          <w:p w14:paraId="3ACFADA8" w14:textId="77777777" w:rsidR="0042315E" w:rsidRPr="00E73CF5" w:rsidRDefault="0042315E" w:rsidP="0042315E">
            <w:pPr>
              <w:rPr>
                <w:sz w:val="20"/>
                <w:szCs w:val="20"/>
              </w:rPr>
            </w:pPr>
          </w:p>
        </w:tc>
        <w:tc>
          <w:tcPr>
            <w:tcW w:w="1134" w:type="dxa"/>
          </w:tcPr>
          <w:p w14:paraId="4C45C738" w14:textId="08AA7B73" w:rsidR="0042315E" w:rsidRDefault="0042315E" w:rsidP="0042315E">
            <w:pPr>
              <w:jc w:val="center"/>
              <w:rPr>
                <w:sz w:val="20"/>
                <w:szCs w:val="20"/>
              </w:rPr>
            </w:pPr>
            <w:r>
              <w:rPr>
                <w:sz w:val="20"/>
                <w:szCs w:val="20"/>
              </w:rPr>
              <w:t>Argentina</w:t>
            </w:r>
          </w:p>
        </w:tc>
        <w:tc>
          <w:tcPr>
            <w:tcW w:w="12049" w:type="dxa"/>
          </w:tcPr>
          <w:p w14:paraId="2BF88A3C" w14:textId="0F4E9052" w:rsidR="0042315E" w:rsidRPr="00F1732D" w:rsidRDefault="0042315E" w:rsidP="0042315E">
            <w:pPr>
              <w:rPr>
                <w:sz w:val="20"/>
                <w:szCs w:val="20"/>
              </w:rPr>
            </w:pPr>
            <w:r w:rsidRPr="00533DCC">
              <w:rPr>
                <w:sz w:val="20"/>
                <w:szCs w:val="20"/>
              </w:rPr>
              <w:t>24) Promotion of linkage mechanisms with civil society in the audit cycle (National Auditor General)</w:t>
            </w:r>
            <w:r>
              <w:rPr>
                <w:sz w:val="20"/>
                <w:szCs w:val="20"/>
              </w:rPr>
              <w:t xml:space="preserve">. </w:t>
            </w:r>
            <w:r w:rsidRPr="00533DCC">
              <w:rPr>
                <w:sz w:val="20"/>
                <w:szCs w:val="20"/>
              </w:rPr>
              <w:t xml:space="preserve">Workshops and exchange activities will be carried out with civil society organizations and other interested parties to receive contributions in the audit design processes and to present the results thereof </w:t>
            </w:r>
            <w:proofErr w:type="gramStart"/>
            <w:r w:rsidRPr="00533DCC">
              <w:rPr>
                <w:sz w:val="20"/>
                <w:szCs w:val="20"/>
              </w:rPr>
              <w:t>in order to</w:t>
            </w:r>
            <w:proofErr w:type="gramEnd"/>
            <w:r w:rsidRPr="00533DCC">
              <w:rPr>
                <w:sz w:val="20"/>
                <w:szCs w:val="20"/>
              </w:rPr>
              <w:t xml:space="preserve"> improve the audit process.</w:t>
            </w:r>
          </w:p>
        </w:tc>
      </w:tr>
      <w:tr w:rsidR="0042315E" w:rsidRPr="00E73CF5" w14:paraId="204A06A9" w14:textId="77777777" w:rsidTr="000A5230">
        <w:tc>
          <w:tcPr>
            <w:tcW w:w="1413" w:type="dxa"/>
          </w:tcPr>
          <w:p w14:paraId="70E44EC8" w14:textId="77777777" w:rsidR="0042315E" w:rsidRPr="00E73CF5" w:rsidRDefault="0042315E" w:rsidP="0042315E">
            <w:pPr>
              <w:rPr>
                <w:sz w:val="20"/>
                <w:szCs w:val="20"/>
              </w:rPr>
            </w:pPr>
          </w:p>
        </w:tc>
        <w:tc>
          <w:tcPr>
            <w:tcW w:w="1134" w:type="dxa"/>
          </w:tcPr>
          <w:p w14:paraId="3B499256" w14:textId="77777777" w:rsidR="0042315E" w:rsidRDefault="0042315E" w:rsidP="0042315E">
            <w:pPr>
              <w:jc w:val="center"/>
              <w:rPr>
                <w:sz w:val="20"/>
                <w:szCs w:val="20"/>
              </w:rPr>
            </w:pPr>
            <w:r>
              <w:rPr>
                <w:sz w:val="20"/>
                <w:szCs w:val="20"/>
              </w:rPr>
              <w:t xml:space="preserve">Philippines </w:t>
            </w:r>
          </w:p>
          <w:p w14:paraId="3B8B559A" w14:textId="0521609D" w:rsidR="0042315E" w:rsidRPr="00E73CF5" w:rsidRDefault="0042315E" w:rsidP="0042315E">
            <w:pPr>
              <w:jc w:val="center"/>
              <w:rPr>
                <w:sz w:val="20"/>
                <w:szCs w:val="20"/>
              </w:rPr>
            </w:pPr>
          </w:p>
        </w:tc>
        <w:tc>
          <w:tcPr>
            <w:tcW w:w="12049" w:type="dxa"/>
          </w:tcPr>
          <w:p w14:paraId="1047A1D8" w14:textId="77777777" w:rsidR="0042315E" w:rsidRPr="00F1732D" w:rsidRDefault="0042315E" w:rsidP="0042315E">
            <w:pPr>
              <w:rPr>
                <w:sz w:val="20"/>
                <w:szCs w:val="20"/>
              </w:rPr>
            </w:pPr>
            <w:r w:rsidRPr="00F1732D">
              <w:rPr>
                <w:sz w:val="20"/>
                <w:szCs w:val="20"/>
              </w:rPr>
              <w:t>4</w:t>
            </w:r>
            <w:r>
              <w:rPr>
                <w:sz w:val="20"/>
                <w:szCs w:val="20"/>
              </w:rPr>
              <w:t>)</w:t>
            </w:r>
            <w:r w:rsidRPr="00F1732D">
              <w:rPr>
                <w:sz w:val="20"/>
                <w:szCs w:val="20"/>
              </w:rPr>
              <w:t xml:space="preserve"> Citizen Participatory Audit (Commission on Audit, and Senate of the Philippines).</w:t>
            </w:r>
          </w:p>
          <w:p w14:paraId="1C8B1FA7" w14:textId="271888E1" w:rsidR="0042315E" w:rsidRPr="00E73CF5" w:rsidRDefault="0042315E" w:rsidP="0042315E">
            <w:pPr>
              <w:rPr>
                <w:sz w:val="20"/>
                <w:szCs w:val="20"/>
              </w:rPr>
            </w:pPr>
            <w:r w:rsidRPr="00F1732D">
              <w:rPr>
                <w:sz w:val="20"/>
                <w:szCs w:val="20"/>
              </w:rPr>
              <w:t>Expansion of the coverage of the CPA to include not only performance/compliance audit engagements and the related capacity building activities, but also in the following areas: 1. Validation of implementation of audit recommendations, both by COA and CSO representatives, and citizens of the community; 2. Conduct of CPA Dialogues to obtain citizen inputs for the COA’s Strategic Planning and Audit Planning.</w:t>
            </w:r>
          </w:p>
        </w:tc>
      </w:tr>
      <w:tr w:rsidR="0042315E" w:rsidRPr="00E73CF5" w14:paraId="76A3AD60" w14:textId="77777777" w:rsidTr="000A5230">
        <w:tc>
          <w:tcPr>
            <w:tcW w:w="1413" w:type="dxa"/>
          </w:tcPr>
          <w:p w14:paraId="52EE55B0" w14:textId="77777777" w:rsidR="0042315E" w:rsidRPr="00E73CF5" w:rsidRDefault="0042315E" w:rsidP="0042315E">
            <w:pPr>
              <w:rPr>
                <w:b/>
                <w:sz w:val="20"/>
                <w:szCs w:val="20"/>
              </w:rPr>
            </w:pPr>
            <w:r w:rsidRPr="00E73CF5">
              <w:rPr>
                <w:b/>
                <w:sz w:val="20"/>
                <w:szCs w:val="20"/>
              </w:rPr>
              <w:t>HLP 10:</w:t>
            </w:r>
          </w:p>
          <w:p w14:paraId="1C5A280B" w14:textId="77777777" w:rsidR="0042315E" w:rsidRPr="00E73CF5" w:rsidRDefault="0042315E" w:rsidP="0042315E">
            <w:pPr>
              <w:rPr>
                <w:sz w:val="20"/>
                <w:szCs w:val="20"/>
              </w:rPr>
            </w:pPr>
            <w:r w:rsidRPr="00E73CF5">
              <w:rPr>
                <w:b/>
                <w:sz w:val="20"/>
                <w:szCs w:val="20"/>
              </w:rPr>
              <w:t xml:space="preserve">Public participation </w:t>
            </w:r>
          </w:p>
        </w:tc>
        <w:tc>
          <w:tcPr>
            <w:tcW w:w="1134" w:type="dxa"/>
          </w:tcPr>
          <w:p w14:paraId="49BEDF13" w14:textId="77777777" w:rsidR="0042315E" w:rsidRPr="00E73CF5" w:rsidRDefault="0042315E" w:rsidP="0042315E">
            <w:pPr>
              <w:jc w:val="center"/>
              <w:rPr>
                <w:sz w:val="20"/>
                <w:szCs w:val="20"/>
              </w:rPr>
            </w:pPr>
          </w:p>
        </w:tc>
        <w:tc>
          <w:tcPr>
            <w:tcW w:w="12049" w:type="dxa"/>
          </w:tcPr>
          <w:p w14:paraId="3A80B4C5" w14:textId="77777777" w:rsidR="0042315E" w:rsidRPr="00E73CF5" w:rsidRDefault="0042315E" w:rsidP="0042315E">
            <w:pPr>
              <w:rPr>
                <w:b/>
                <w:sz w:val="20"/>
                <w:szCs w:val="20"/>
              </w:rPr>
            </w:pPr>
          </w:p>
        </w:tc>
      </w:tr>
      <w:tr w:rsidR="0042315E" w:rsidRPr="00E73CF5" w14:paraId="1DAAFA1A" w14:textId="77777777" w:rsidTr="000A5230">
        <w:tc>
          <w:tcPr>
            <w:tcW w:w="1413" w:type="dxa"/>
          </w:tcPr>
          <w:p w14:paraId="3C4A4C08" w14:textId="77777777" w:rsidR="0042315E" w:rsidRPr="00E73CF5" w:rsidRDefault="0042315E" w:rsidP="0042315E">
            <w:pPr>
              <w:rPr>
                <w:sz w:val="20"/>
                <w:szCs w:val="20"/>
              </w:rPr>
            </w:pPr>
          </w:p>
        </w:tc>
        <w:tc>
          <w:tcPr>
            <w:tcW w:w="1134" w:type="dxa"/>
          </w:tcPr>
          <w:p w14:paraId="09539C3C" w14:textId="69DABBD5" w:rsidR="0042315E" w:rsidRPr="00E73CF5" w:rsidRDefault="0042315E" w:rsidP="0042315E">
            <w:pPr>
              <w:jc w:val="center"/>
              <w:rPr>
                <w:rFonts w:ascii="Calibri" w:eastAsia="Times New Roman" w:hAnsi="Calibri" w:cs="Times New Roman"/>
                <w:color w:val="000000"/>
                <w:sz w:val="20"/>
                <w:szCs w:val="20"/>
                <w:lang w:eastAsia="en-NZ"/>
              </w:rPr>
            </w:pPr>
            <w:r>
              <w:rPr>
                <w:sz w:val="20"/>
                <w:szCs w:val="20"/>
              </w:rPr>
              <w:t>Argentina</w:t>
            </w:r>
          </w:p>
        </w:tc>
        <w:tc>
          <w:tcPr>
            <w:tcW w:w="12049" w:type="dxa"/>
          </w:tcPr>
          <w:p w14:paraId="679D6EA7" w14:textId="6C841424" w:rsidR="0042315E" w:rsidRPr="00E73CF5" w:rsidRDefault="0042315E" w:rsidP="0042315E">
            <w:pPr>
              <w:rPr>
                <w:rFonts w:ascii="Calibri" w:eastAsia="Times New Roman" w:hAnsi="Calibri" w:cs="Times New Roman"/>
                <w:color w:val="000000"/>
                <w:sz w:val="20"/>
                <w:szCs w:val="20"/>
                <w:lang w:eastAsia="en-NZ"/>
              </w:rPr>
            </w:pPr>
            <w:r w:rsidRPr="00533DCC">
              <w:rPr>
                <w:sz w:val="20"/>
                <w:szCs w:val="20"/>
              </w:rPr>
              <w:t>1</w:t>
            </w:r>
            <w:r>
              <w:rPr>
                <w:sz w:val="20"/>
                <w:szCs w:val="20"/>
              </w:rPr>
              <w:t>)</w:t>
            </w:r>
            <w:r w:rsidRPr="00533DCC">
              <w:rPr>
                <w:sz w:val="20"/>
                <w:szCs w:val="20"/>
              </w:rPr>
              <w:t xml:space="preserve"> Capacity building in the analysis of public accounts (Undersecretary of Budget, Ministry of Finance)</w:t>
            </w:r>
            <w:r>
              <w:rPr>
                <w:sz w:val="20"/>
                <w:szCs w:val="20"/>
              </w:rPr>
              <w:t xml:space="preserve">. </w:t>
            </w:r>
            <w:r w:rsidRPr="00533DCC">
              <w:rPr>
                <w:sz w:val="20"/>
                <w:szCs w:val="20"/>
              </w:rPr>
              <w:t xml:space="preserve">Promote the use of the Citizen's Site (www.sitiodelciudadano.mecon.gov.ar) to enable users of financial information to acquire skills to </w:t>
            </w:r>
            <w:proofErr w:type="spellStart"/>
            <w:r w:rsidRPr="00533DCC">
              <w:rPr>
                <w:sz w:val="20"/>
                <w:szCs w:val="20"/>
              </w:rPr>
              <w:t>analyze</w:t>
            </w:r>
            <w:proofErr w:type="spellEnd"/>
            <w:r w:rsidRPr="00533DCC">
              <w:rPr>
                <w:sz w:val="20"/>
                <w:szCs w:val="20"/>
              </w:rPr>
              <w:t xml:space="preserve"> the budget process, </w:t>
            </w:r>
            <w:proofErr w:type="gramStart"/>
            <w:r w:rsidRPr="00533DCC">
              <w:rPr>
                <w:sz w:val="20"/>
                <w:szCs w:val="20"/>
              </w:rPr>
              <w:t>in particular the</w:t>
            </w:r>
            <w:proofErr w:type="gramEnd"/>
            <w:r w:rsidRPr="00533DCC">
              <w:rPr>
                <w:sz w:val="20"/>
                <w:szCs w:val="20"/>
              </w:rPr>
              <w:t xml:space="preserve"> execution of resources and expenses, and the Investment Account as an instrument of accountability of the National Public Sector, promoting the usual use of the Portal Sitio del </w:t>
            </w:r>
            <w:proofErr w:type="spellStart"/>
            <w:r w:rsidRPr="00533DCC">
              <w:rPr>
                <w:sz w:val="20"/>
                <w:szCs w:val="20"/>
              </w:rPr>
              <w:t>Ciudadano</w:t>
            </w:r>
            <w:proofErr w:type="spellEnd"/>
            <w:r w:rsidRPr="00533DCC">
              <w:rPr>
                <w:sz w:val="20"/>
                <w:szCs w:val="20"/>
              </w:rPr>
              <w:t xml:space="preserve"> as a consultation tool.</w:t>
            </w:r>
          </w:p>
        </w:tc>
      </w:tr>
      <w:tr w:rsidR="0042315E" w:rsidRPr="00E73CF5" w14:paraId="44DE86F0" w14:textId="77777777" w:rsidTr="000A5230">
        <w:tc>
          <w:tcPr>
            <w:tcW w:w="1413" w:type="dxa"/>
          </w:tcPr>
          <w:p w14:paraId="413165A8" w14:textId="77777777" w:rsidR="0042315E" w:rsidRPr="00E73CF5" w:rsidRDefault="0042315E" w:rsidP="0042315E">
            <w:pPr>
              <w:rPr>
                <w:sz w:val="20"/>
                <w:szCs w:val="20"/>
              </w:rPr>
            </w:pPr>
          </w:p>
        </w:tc>
        <w:tc>
          <w:tcPr>
            <w:tcW w:w="1134" w:type="dxa"/>
          </w:tcPr>
          <w:p w14:paraId="21E97144" w14:textId="77777777" w:rsidR="0042315E" w:rsidRDefault="0042315E" w:rsidP="0042315E">
            <w:pPr>
              <w:jc w:val="center"/>
              <w:rPr>
                <w:sz w:val="20"/>
                <w:szCs w:val="20"/>
              </w:rPr>
            </w:pPr>
            <w:r>
              <w:rPr>
                <w:sz w:val="20"/>
                <w:szCs w:val="20"/>
              </w:rPr>
              <w:t xml:space="preserve">Colombia </w:t>
            </w:r>
          </w:p>
          <w:p w14:paraId="1F15C4E9" w14:textId="22059042" w:rsidR="0042315E" w:rsidRPr="00E73CF5" w:rsidRDefault="0042315E" w:rsidP="0042315E">
            <w:pPr>
              <w:jc w:val="center"/>
              <w:rPr>
                <w:rFonts w:ascii="Calibri" w:eastAsia="Times New Roman" w:hAnsi="Calibri" w:cs="Times New Roman"/>
                <w:color w:val="000000"/>
                <w:sz w:val="20"/>
                <w:szCs w:val="20"/>
                <w:lang w:eastAsia="en-NZ"/>
              </w:rPr>
            </w:pPr>
          </w:p>
        </w:tc>
        <w:tc>
          <w:tcPr>
            <w:tcW w:w="12049" w:type="dxa"/>
          </w:tcPr>
          <w:p w14:paraId="212FE12F" w14:textId="22B95114" w:rsidR="0042315E" w:rsidRPr="00E73CF5" w:rsidRDefault="0042315E" w:rsidP="0042315E">
            <w:pPr>
              <w:rPr>
                <w:rFonts w:ascii="Calibri" w:eastAsia="Times New Roman" w:hAnsi="Calibri" w:cs="Times New Roman"/>
                <w:color w:val="000000"/>
                <w:sz w:val="20"/>
                <w:szCs w:val="20"/>
                <w:lang w:eastAsia="en-NZ"/>
              </w:rPr>
            </w:pPr>
            <w:r w:rsidRPr="0042315E">
              <w:rPr>
                <w:sz w:val="20"/>
                <w:szCs w:val="20"/>
              </w:rPr>
              <w:t>7</w:t>
            </w:r>
            <w:r>
              <w:rPr>
                <w:sz w:val="20"/>
                <w:szCs w:val="20"/>
              </w:rPr>
              <w:t>)</w:t>
            </w:r>
            <w:r w:rsidRPr="0042315E">
              <w:rPr>
                <w:sz w:val="20"/>
                <w:szCs w:val="20"/>
              </w:rPr>
              <w:t xml:space="preserve"> Social Control to the maintenance of third level roads (Secretary of Transparency of the Presidency of the Republic).</w:t>
            </w:r>
            <w:r>
              <w:rPr>
                <w:sz w:val="20"/>
                <w:szCs w:val="20"/>
              </w:rPr>
              <w:t xml:space="preserve"> </w:t>
            </w:r>
            <w:r w:rsidRPr="0042315E">
              <w:rPr>
                <w:sz w:val="20"/>
                <w:szCs w:val="20"/>
              </w:rPr>
              <w:t>Develop social control exercises so that communities can exercise vigilance, determine the pertinence of works carried out</w:t>
            </w:r>
            <w:r>
              <w:rPr>
                <w:sz w:val="20"/>
                <w:szCs w:val="20"/>
              </w:rPr>
              <w:t>,</w:t>
            </w:r>
            <w:r w:rsidRPr="0042315E">
              <w:rPr>
                <w:sz w:val="20"/>
                <w:szCs w:val="20"/>
              </w:rPr>
              <w:t xml:space="preserve"> request an effective rendering of accounts.</w:t>
            </w:r>
          </w:p>
        </w:tc>
      </w:tr>
      <w:tr w:rsidR="0042315E" w:rsidRPr="00E73CF5" w14:paraId="1DD78D52" w14:textId="77777777" w:rsidTr="000A5230">
        <w:tc>
          <w:tcPr>
            <w:tcW w:w="1413" w:type="dxa"/>
          </w:tcPr>
          <w:p w14:paraId="7B2C3EF1" w14:textId="77777777" w:rsidR="0042315E" w:rsidRPr="00E73CF5" w:rsidRDefault="0042315E" w:rsidP="0042315E">
            <w:pPr>
              <w:rPr>
                <w:sz w:val="20"/>
                <w:szCs w:val="20"/>
              </w:rPr>
            </w:pPr>
          </w:p>
        </w:tc>
        <w:tc>
          <w:tcPr>
            <w:tcW w:w="1134" w:type="dxa"/>
          </w:tcPr>
          <w:p w14:paraId="3A683373" w14:textId="77777777" w:rsidR="0042315E" w:rsidRDefault="0042315E" w:rsidP="0042315E">
            <w:pPr>
              <w:jc w:val="center"/>
              <w:rPr>
                <w:sz w:val="20"/>
                <w:szCs w:val="20"/>
              </w:rPr>
            </w:pPr>
            <w:r>
              <w:rPr>
                <w:sz w:val="20"/>
                <w:szCs w:val="20"/>
              </w:rPr>
              <w:t>Colombia</w:t>
            </w:r>
          </w:p>
          <w:p w14:paraId="6B77AF84" w14:textId="4A7BEC19" w:rsidR="0042315E" w:rsidRPr="00E73CF5" w:rsidRDefault="0042315E" w:rsidP="0042315E">
            <w:pPr>
              <w:jc w:val="center"/>
              <w:rPr>
                <w:rFonts w:ascii="Calibri" w:eastAsia="Times New Roman" w:hAnsi="Calibri" w:cs="Times New Roman"/>
                <w:color w:val="000000"/>
                <w:sz w:val="20"/>
                <w:szCs w:val="20"/>
                <w:lang w:eastAsia="en-NZ"/>
              </w:rPr>
            </w:pPr>
          </w:p>
        </w:tc>
        <w:tc>
          <w:tcPr>
            <w:tcW w:w="12049" w:type="dxa"/>
          </w:tcPr>
          <w:p w14:paraId="6995407B" w14:textId="401D884C" w:rsidR="0042315E" w:rsidRPr="00E73CF5" w:rsidRDefault="0042315E" w:rsidP="0042315E">
            <w:pPr>
              <w:rPr>
                <w:rFonts w:ascii="Calibri" w:eastAsia="Times New Roman" w:hAnsi="Calibri" w:cs="Times New Roman"/>
                <w:color w:val="000000"/>
                <w:sz w:val="20"/>
                <w:szCs w:val="20"/>
                <w:lang w:eastAsia="en-NZ"/>
              </w:rPr>
            </w:pPr>
            <w:r w:rsidRPr="0042315E">
              <w:rPr>
                <w:sz w:val="20"/>
                <w:szCs w:val="20"/>
              </w:rPr>
              <w:t>8</w:t>
            </w:r>
            <w:r>
              <w:rPr>
                <w:sz w:val="20"/>
                <w:szCs w:val="20"/>
              </w:rPr>
              <w:t>)</w:t>
            </w:r>
            <w:r w:rsidRPr="0042315E">
              <w:rPr>
                <w:sz w:val="20"/>
                <w:szCs w:val="20"/>
              </w:rPr>
              <w:t xml:space="preserve">  Implementation of the Integrated Information System for the Post-Conflict Peace Agreement (High Council for the Post-conflict)</w:t>
            </w:r>
            <w:r>
              <w:rPr>
                <w:sz w:val="20"/>
                <w:szCs w:val="20"/>
              </w:rPr>
              <w:t xml:space="preserve">. </w:t>
            </w:r>
            <w:r w:rsidRPr="0042315E">
              <w:rPr>
                <w:sz w:val="20"/>
                <w:szCs w:val="20"/>
              </w:rPr>
              <w:t>Introduce the Integrated Information System for the Post-Conflict and its Web Portal to allow a permanent dialogue with the citizens on projects of interest, enable citizens to upload documents and photos that demonstrate the progress or delay of the works, and answer requests.</w:t>
            </w:r>
          </w:p>
        </w:tc>
      </w:tr>
      <w:tr w:rsidR="0042315E" w:rsidRPr="00E73CF5" w14:paraId="0BDE9504" w14:textId="77777777" w:rsidTr="000A5230">
        <w:tc>
          <w:tcPr>
            <w:tcW w:w="1413" w:type="dxa"/>
          </w:tcPr>
          <w:p w14:paraId="003F247B" w14:textId="77777777" w:rsidR="0042315E" w:rsidRPr="00E73CF5" w:rsidRDefault="0042315E" w:rsidP="0042315E">
            <w:pPr>
              <w:rPr>
                <w:sz w:val="20"/>
                <w:szCs w:val="20"/>
              </w:rPr>
            </w:pPr>
          </w:p>
        </w:tc>
        <w:tc>
          <w:tcPr>
            <w:tcW w:w="1134" w:type="dxa"/>
          </w:tcPr>
          <w:p w14:paraId="116725AE" w14:textId="77777777" w:rsidR="0042315E" w:rsidRPr="00E73CF5" w:rsidRDefault="0042315E" w:rsidP="0042315E">
            <w:pPr>
              <w:jc w:val="center"/>
              <w:rPr>
                <w:rFonts w:ascii="Calibri" w:eastAsia="Times New Roman" w:hAnsi="Calibri" w:cs="Times New Roman"/>
                <w:color w:val="000000"/>
                <w:sz w:val="20"/>
                <w:szCs w:val="20"/>
                <w:lang w:eastAsia="en-NZ"/>
              </w:rPr>
            </w:pPr>
            <w:r w:rsidRPr="00E73CF5">
              <w:rPr>
                <w:rFonts w:ascii="Calibri" w:eastAsia="Times New Roman" w:hAnsi="Calibri" w:cs="Times New Roman"/>
                <w:color w:val="000000"/>
                <w:sz w:val="20"/>
                <w:szCs w:val="20"/>
                <w:lang w:eastAsia="en-NZ"/>
              </w:rPr>
              <w:t>Colombia</w:t>
            </w:r>
          </w:p>
          <w:p w14:paraId="3D1D3105" w14:textId="0F1D56CC" w:rsidR="0042315E" w:rsidRPr="00E73CF5" w:rsidRDefault="0042315E" w:rsidP="0042315E">
            <w:pPr>
              <w:jc w:val="center"/>
              <w:rPr>
                <w:rFonts w:ascii="Calibri" w:eastAsia="Times New Roman" w:hAnsi="Calibri" w:cs="Times New Roman"/>
                <w:color w:val="000000"/>
                <w:sz w:val="20"/>
                <w:szCs w:val="20"/>
                <w:lang w:eastAsia="en-NZ"/>
              </w:rPr>
            </w:pPr>
          </w:p>
        </w:tc>
        <w:tc>
          <w:tcPr>
            <w:tcW w:w="12049" w:type="dxa"/>
            <w:vAlign w:val="bottom"/>
          </w:tcPr>
          <w:p w14:paraId="23EE667D" w14:textId="77777777" w:rsidR="0042315E" w:rsidRPr="00E73CF5" w:rsidRDefault="0042315E" w:rsidP="0042315E">
            <w:pPr>
              <w:rPr>
                <w:rFonts w:ascii="Calibri" w:eastAsia="Times New Roman" w:hAnsi="Calibri" w:cs="Times New Roman"/>
                <w:color w:val="000000"/>
                <w:sz w:val="20"/>
                <w:szCs w:val="20"/>
                <w:lang w:eastAsia="en-NZ"/>
              </w:rPr>
            </w:pPr>
            <w:r w:rsidRPr="00E73CF5">
              <w:rPr>
                <w:rFonts w:ascii="Calibri" w:eastAsia="Times New Roman" w:hAnsi="Calibri" w:cs="Times New Roman"/>
                <w:color w:val="000000"/>
                <w:sz w:val="20"/>
                <w:szCs w:val="20"/>
                <w:lang w:eastAsia="en-NZ"/>
              </w:rPr>
              <w:t>11) A model of citizen participation in the cycle of investment projects financed from royalties will be designed and implemented, including training of citizens to promote the social control of royalties’ resources and the realization of visible audits and of citizen audits.</w:t>
            </w:r>
          </w:p>
        </w:tc>
      </w:tr>
      <w:tr w:rsidR="0042315E" w:rsidRPr="00E73CF5" w14:paraId="423CD8EC" w14:textId="77777777" w:rsidTr="000A5230">
        <w:tc>
          <w:tcPr>
            <w:tcW w:w="1413" w:type="dxa"/>
          </w:tcPr>
          <w:p w14:paraId="7507787E" w14:textId="77777777" w:rsidR="0042315E" w:rsidRPr="00E73CF5" w:rsidRDefault="0042315E" w:rsidP="0042315E">
            <w:pPr>
              <w:rPr>
                <w:sz w:val="20"/>
                <w:szCs w:val="20"/>
              </w:rPr>
            </w:pPr>
          </w:p>
        </w:tc>
        <w:tc>
          <w:tcPr>
            <w:tcW w:w="1134" w:type="dxa"/>
          </w:tcPr>
          <w:p w14:paraId="3AA662E6" w14:textId="77777777" w:rsidR="0042315E" w:rsidRPr="00E73CF5" w:rsidRDefault="0042315E" w:rsidP="0042315E">
            <w:pPr>
              <w:jc w:val="center"/>
              <w:rPr>
                <w:sz w:val="20"/>
                <w:szCs w:val="20"/>
              </w:rPr>
            </w:pPr>
            <w:r w:rsidRPr="00E73CF5">
              <w:rPr>
                <w:sz w:val="20"/>
                <w:szCs w:val="20"/>
              </w:rPr>
              <w:t>Colombia</w:t>
            </w:r>
          </w:p>
          <w:p w14:paraId="1C2CE567" w14:textId="7397902C" w:rsidR="0042315E" w:rsidRPr="00E73CF5" w:rsidRDefault="0042315E" w:rsidP="0042315E">
            <w:pPr>
              <w:jc w:val="center"/>
              <w:rPr>
                <w:rFonts w:ascii="Calibri" w:eastAsia="Times New Roman" w:hAnsi="Calibri" w:cs="Times New Roman"/>
                <w:color w:val="000000"/>
                <w:sz w:val="20"/>
                <w:szCs w:val="20"/>
                <w:lang w:eastAsia="en-NZ"/>
              </w:rPr>
            </w:pPr>
          </w:p>
        </w:tc>
        <w:tc>
          <w:tcPr>
            <w:tcW w:w="12049" w:type="dxa"/>
          </w:tcPr>
          <w:p w14:paraId="01695DB7" w14:textId="77777777" w:rsidR="0042315E" w:rsidRPr="00E73CF5" w:rsidRDefault="0042315E" w:rsidP="0042315E">
            <w:pPr>
              <w:rPr>
                <w:rFonts w:ascii="Calibri" w:eastAsia="Times New Roman" w:hAnsi="Calibri" w:cs="Times New Roman"/>
                <w:color w:val="000000"/>
                <w:sz w:val="20"/>
                <w:szCs w:val="20"/>
                <w:lang w:eastAsia="en-NZ"/>
              </w:rPr>
            </w:pPr>
            <w:r w:rsidRPr="00E73CF5">
              <w:rPr>
                <w:sz w:val="20"/>
                <w:szCs w:val="20"/>
              </w:rPr>
              <w:t>18) A participatory evaluation of the Public Policy on Gender Equality (</w:t>
            </w:r>
            <w:proofErr w:type="spellStart"/>
            <w:r w:rsidRPr="00E73CF5">
              <w:rPr>
                <w:sz w:val="20"/>
                <w:szCs w:val="20"/>
              </w:rPr>
              <w:t>Conpes</w:t>
            </w:r>
            <w:proofErr w:type="spellEnd"/>
            <w:r w:rsidRPr="00E73CF5">
              <w:rPr>
                <w:sz w:val="20"/>
                <w:szCs w:val="20"/>
              </w:rPr>
              <w:t xml:space="preserve"> 161/13) will be designed, its actions, goals and Budgets, and will be harmonized according to the National Development Plan 2014-2018. </w:t>
            </w:r>
          </w:p>
        </w:tc>
      </w:tr>
      <w:tr w:rsidR="0042315E" w:rsidRPr="00E73CF5" w14:paraId="69798D03" w14:textId="77777777" w:rsidTr="000A5230">
        <w:tc>
          <w:tcPr>
            <w:tcW w:w="1413" w:type="dxa"/>
          </w:tcPr>
          <w:p w14:paraId="335AAC5B" w14:textId="77777777" w:rsidR="0042315E" w:rsidRPr="00E73CF5" w:rsidRDefault="0042315E" w:rsidP="0042315E">
            <w:pPr>
              <w:rPr>
                <w:sz w:val="20"/>
                <w:szCs w:val="20"/>
              </w:rPr>
            </w:pPr>
          </w:p>
        </w:tc>
        <w:tc>
          <w:tcPr>
            <w:tcW w:w="1134" w:type="dxa"/>
          </w:tcPr>
          <w:p w14:paraId="3892DD1A" w14:textId="77777777" w:rsidR="0042315E" w:rsidRPr="00E73CF5" w:rsidRDefault="0042315E" w:rsidP="0042315E">
            <w:pPr>
              <w:jc w:val="center"/>
              <w:rPr>
                <w:rFonts w:ascii="Calibri" w:eastAsia="Times New Roman" w:hAnsi="Calibri" w:cs="Times New Roman"/>
                <w:color w:val="000000"/>
                <w:sz w:val="20"/>
                <w:szCs w:val="20"/>
                <w:lang w:eastAsia="en-NZ"/>
              </w:rPr>
            </w:pPr>
            <w:r w:rsidRPr="00E73CF5">
              <w:rPr>
                <w:rFonts w:ascii="Calibri" w:eastAsia="Times New Roman" w:hAnsi="Calibri" w:cs="Times New Roman"/>
                <w:color w:val="000000"/>
                <w:sz w:val="20"/>
                <w:szCs w:val="20"/>
                <w:lang w:eastAsia="en-NZ"/>
              </w:rPr>
              <w:t>Dominican Republic</w:t>
            </w:r>
          </w:p>
          <w:p w14:paraId="7538F134" w14:textId="1882CD71" w:rsidR="0042315E" w:rsidRPr="00E73CF5" w:rsidRDefault="0042315E" w:rsidP="0042315E">
            <w:pPr>
              <w:jc w:val="center"/>
              <w:rPr>
                <w:rFonts w:ascii="Calibri" w:eastAsia="Times New Roman" w:hAnsi="Calibri" w:cs="Times New Roman"/>
                <w:color w:val="000000"/>
                <w:sz w:val="20"/>
                <w:szCs w:val="20"/>
                <w:lang w:eastAsia="en-NZ"/>
              </w:rPr>
            </w:pPr>
          </w:p>
        </w:tc>
        <w:tc>
          <w:tcPr>
            <w:tcW w:w="12049" w:type="dxa"/>
            <w:vAlign w:val="bottom"/>
          </w:tcPr>
          <w:p w14:paraId="248A5207" w14:textId="77777777" w:rsidR="0042315E" w:rsidRPr="00E73CF5" w:rsidRDefault="0042315E" w:rsidP="0042315E">
            <w:pPr>
              <w:rPr>
                <w:rFonts w:ascii="Calibri" w:eastAsia="Times New Roman" w:hAnsi="Calibri" w:cs="Times New Roman"/>
                <w:color w:val="000000"/>
                <w:sz w:val="20"/>
                <w:szCs w:val="20"/>
                <w:lang w:eastAsia="en-NZ"/>
              </w:rPr>
            </w:pPr>
            <w:r w:rsidRPr="00E73CF5">
              <w:rPr>
                <w:rFonts w:ascii="Calibri" w:eastAsia="Times New Roman" w:hAnsi="Calibri" w:cs="Times New Roman"/>
                <w:color w:val="000000"/>
                <w:sz w:val="20"/>
                <w:szCs w:val="20"/>
                <w:lang w:eastAsia="en-NZ"/>
              </w:rPr>
              <w:t>5) To have a space for citizen-government interaction, where citizens can make proposals to the national budget before being presented to the executive branch. This portal will have as its purpose that citizens through it interact with the competent authorities and who can make proposals to the public budget, audit budget execution, evaluate efficiency of spending, etc.</w:t>
            </w:r>
          </w:p>
        </w:tc>
      </w:tr>
      <w:tr w:rsidR="0042315E" w:rsidRPr="00E73CF5" w14:paraId="16E345C9" w14:textId="77777777" w:rsidTr="000A5230">
        <w:tc>
          <w:tcPr>
            <w:tcW w:w="1413" w:type="dxa"/>
          </w:tcPr>
          <w:p w14:paraId="7723AE50" w14:textId="77777777" w:rsidR="0042315E" w:rsidRPr="00E73CF5" w:rsidRDefault="0042315E" w:rsidP="0042315E">
            <w:pPr>
              <w:rPr>
                <w:sz w:val="20"/>
                <w:szCs w:val="20"/>
              </w:rPr>
            </w:pPr>
          </w:p>
        </w:tc>
        <w:tc>
          <w:tcPr>
            <w:tcW w:w="1134" w:type="dxa"/>
          </w:tcPr>
          <w:p w14:paraId="2EE3276D" w14:textId="77777777" w:rsidR="0042315E" w:rsidRPr="00E73CF5" w:rsidRDefault="0042315E" w:rsidP="0042315E">
            <w:pPr>
              <w:jc w:val="center"/>
              <w:rPr>
                <w:sz w:val="20"/>
                <w:szCs w:val="20"/>
              </w:rPr>
            </w:pPr>
            <w:r w:rsidRPr="00E73CF5">
              <w:rPr>
                <w:sz w:val="20"/>
                <w:szCs w:val="20"/>
              </w:rPr>
              <w:t>Guatemala</w:t>
            </w:r>
          </w:p>
          <w:p w14:paraId="5B6C5DE2" w14:textId="6D10196D" w:rsidR="0042315E" w:rsidRPr="00E73CF5" w:rsidRDefault="0042315E" w:rsidP="0042315E">
            <w:pPr>
              <w:jc w:val="center"/>
              <w:rPr>
                <w:sz w:val="20"/>
                <w:szCs w:val="20"/>
              </w:rPr>
            </w:pPr>
          </w:p>
        </w:tc>
        <w:tc>
          <w:tcPr>
            <w:tcW w:w="12049" w:type="dxa"/>
          </w:tcPr>
          <w:p w14:paraId="675A8669" w14:textId="77777777" w:rsidR="0042315E" w:rsidRPr="00E73CF5" w:rsidRDefault="0042315E" w:rsidP="0042315E">
            <w:pPr>
              <w:rPr>
                <w:sz w:val="20"/>
                <w:szCs w:val="20"/>
              </w:rPr>
            </w:pPr>
            <w:r w:rsidRPr="00E73CF5">
              <w:rPr>
                <w:sz w:val="20"/>
                <w:szCs w:val="20"/>
              </w:rPr>
              <w:t xml:space="preserve">15) To disclose the transparent management of the expenses and resources used in disaster risk management and reduction. The opening of spaces for social audit, valuing the participation of civil society and encouraging citizen participation. </w:t>
            </w:r>
          </w:p>
        </w:tc>
      </w:tr>
      <w:tr w:rsidR="0042315E" w:rsidRPr="00E73CF5" w14:paraId="6E8D3B21" w14:textId="77777777" w:rsidTr="000A5230">
        <w:tc>
          <w:tcPr>
            <w:tcW w:w="1413" w:type="dxa"/>
          </w:tcPr>
          <w:p w14:paraId="27F8E91E" w14:textId="77777777" w:rsidR="0042315E" w:rsidRPr="00E73CF5" w:rsidRDefault="0042315E" w:rsidP="0042315E">
            <w:pPr>
              <w:rPr>
                <w:sz w:val="20"/>
                <w:szCs w:val="20"/>
              </w:rPr>
            </w:pPr>
          </w:p>
        </w:tc>
        <w:tc>
          <w:tcPr>
            <w:tcW w:w="1134" w:type="dxa"/>
          </w:tcPr>
          <w:p w14:paraId="1313E71D" w14:textId="77777777" w:rsidR="0042315E" w:rsidRPr="00E73CF5" w:rsidRDefault="0042315E" w:rsidP="0042315E">
            <w:pPr>
              <w:jc w:val="center"/>
              <w:rPr>
                <w:sz w:val="20"/>
                <w:szCs w:val="20"/>
              </w:rPr>
            </w:pPr>
            <w:r w:rsidRPr="00E73CF5">
              <w:rPr>
                <w:sz w:val="20"/>
                <w:szCs w:val="20"/>
              </w:rPr>
              <w:t>Guatemala</w:t>
            </w:r>
          </w:p>
          <w:p w14:paraId="7D95F463" w14:textId="1DAC5F57" w:rsidR="0042315E" w:rsidRPr="00E73CF5" w:rsidRDefault="0042315E" w:rsidP="0042315E">
            <w:pPr>
              <w:jc w:val="center"/>
              <w:rPr>
                <w:rFonts w:ascii="Calibri" w:eastAsia="Times New Roman" w:hAnsi="Calibri" w:cs="Times New Roman"/>
                <w:color w:val="000000"/>
                <w:sz w:val="20"/>
                <w:szCs w:val="20"/>
                <w:lang w:eastAsia="en-NZ"/>
              </w:rPr>
            </w:pPr>
          </w:p>
        </w:tc>
        <w:tc>
          <w:tcPr>
            <w:tcW w:w="12049" w:type="dxa"/>
          </w:tcPr>
          <w:p w14:paraId="7CCD6449" w14:textId="77777777" w:rsidR="0042315E" w:rsidRPr="00E73CF5" w:rsidRDefault="0042315E" w:rsidP="0042315E">
            <w:pPr>
              <w:rPr>
                <w:rFonts w:ascii="Calibri" w:eastAsia="Times New Roman" w:hAnsi="Calibri" w:cs="Times New Roman"/>
                <w:color w:val="000000"/>
                <w:sz w:val="20"/>
                <w:szCs w:val="20"/>
                <w:lang w:eastAsia="en-NZ"/>
              </w:rPr>
            </w:pPr>
            <w:r w:rsidRPr="00E73CF5">
              <w:rPr>
                <w:sz w:val="20"/>
                <w:szCs w:val="20"/>
              </w:rPr>
              <w:t>16) To promote channels of citizen participation in key stages of the budget process, through open budget forums (the public presentation of the investment proposal, and the audit report). It is sought that civil society organizations and citizens in general know and make recommendations on relevant aspects during the budget process, through mechanisms that reflect GIFT’s principles of public participation in fiscal policy.</w:t>
            </w:r>
          </w:p>
        </w:tc>
      </w:tr>
      <w:tr w:rsidR="0042315E" w:rsidRPr="00E73CF5" w14:paraId="7A2623E5" w14:textId="77777777" w:rsidTr="000A5230">
        <w:tc>
          <w:tcPr>
            <w:tcW w:w="1413" w:type="dxa"/>
          </w:tcPr>
          <w:p w14:paraId="3B224F82" w14:textId="77777777" w:rsidR="0042315E" w:rsidRPr="00E73CF5" w:rsidRDefault="0042315E" w:rsidP="0042315E">
            <w:pPr>
              <w:rPr>
                <w:sz w:val="20"/>
                <w:szCs w:val="20"/>
              </w:rPr>
            </w:pPr>
          </w:p>
        </w:tc>
        <w:tc>
          <w:tcPr>
            <w:tcW w:w="1134" w:type="dxa"/>
          </w:tcPr>
          <w:p w14:paraId="2E510512" w14:textId="77777777" w:rsidR="0042315E" w:rsidRPr="00E73CF5" w:rsidRDefault="0042315E" w:rsidP="0042315E">
            <w:pPr>
              <w:jc w:val="center"/>
              <w:rPr>
                <w:rFonts w:ascii="Calibri" w:eastAsia="Times New Roman" w:hAnsi="Calibri" w:cs="Times New Roman"/>
                <w:color w:val="000000"/>
                <w:sz w:val="20"/>
                <w:szCs w:val="20"/>
                <w:lang w:eastAsia="en-NZ"/>
              </w:rPr>
            </w:pPr>
            <w:r w:rsidRPr="00E73CF5">
              <w:rPr>
                <w:rFonts w:ascii="Calibri" w:eastAsia="Times New Roman" w:hAnsi="Calibri" w:cs="Times New Roman"/>
                <w:color w:val="000000"/>
                <w:sz w:val="20"/>
                <w:szCs w:val="20"/>
                <w:lang w:eastAsia="en-NZ"/>
              </w:rPr>
              <w:t>Guatemala</w:t>
            </w:r>
          </w:p>
          <w:p w14:paraId="753C4B05" w14:textId="78D24014" w:rsidR="0042315E" w:rsidRPr="00E73CF5" w:rsidRDefault="0042315E" w:rsidP="0042315E">
            <w:pPr>
              <w:jc w:val="center"/>
              <w:rPr>
                <w:sz w:val="20"/>
                <w:szCs w:val="20"/>
              </w:rPr>
            </w:pPr>
          </w:p>
        </w:tc>
        <w:tc>
          <w:tcPr>
            <w:tcW w:w="12049" w:type="dxa"/>
            <w:vAlign w:val="bottom"/>
          </w:tcPr>
          <w:p w14:paraId="2516E399" w14:textId="77777777" w:rsidR="0042315E" w:rsidRPr="00E73CF5" w:rsidRDefault="0042315E" w:rsidP="0042315E">
            <w:pPr>
              <w:rPr>
                <w:sz w:val="20"/>
                <w:szCs w:val="20"/>
              </w:rPr>
            </w:pPr>
            <w:r w:rsidRPr="00E73CF5">
              <w:rPr>
                <w:rFonts w:ascii="Calibri" w:eastAsia="Times New Roman" w:hAnsi="Calibri" w:cs="Times New Roman"/>
                <w:color w:val="000000"/>
                <w:sz w:val="20"/>
                <w:szCs w:val="20"/>
                <w:lang w:eastAsia="en-NZ"/>
              </w:rPr>
              <w:t xml:space="preserve">22) To provide students with the necessary inputs in the teaching-learning process (food and school supplies), as well as to reduce school failure, by promoting citizen participation through the involvement of the educational community in follow-up to the reduction of school failure and the delivery of support programs. </w:t>
            </w:r>
          </w:p>
        </w:tc>
      </w:tr>
      <w:tr w:rsidR="0042315E" w:rsidRPr="00E73CF5" w14:paraId="532F9125" w14:textId="77777777" w:rsidTr="000A5230">
        <w:tc>
          <w:tcPr>
            <w:tcW w:w="1413" w:type="dxa"/>
          </w:tcPr>
          <w:p w14:paraId="7E7F86D7" w14:textId="77777777" w:rsidR="0042315E" w:rsidRPr="00E73CF5" w:rsidRDefault="0042315E" w:rsidP="0042315E">
            <w:pPr>
              <w:rPr>
                <w:sz w:val="20"/>
                <w:szCs w:val="20"/>
              </w:rPr>
            </w:pPr>
          </w:p>
        </w:tc>
        <w:tc>
          <w:tcPr>
            <w:tcW w:w="1134" w:type="dxa"/>
          </w:tcPr>
          <w:p w14:paraId="7D64E1F5" w14:textId="77777777" w:rsidR="0042315E" w:rsidRPr="00E73CF5" w:rsidRDefault="0042315E" w:rsidP="0042315E">
            <w:pPr>
              <w:jc w:val="center"/>
              <w:rPr>
                <w:sz w:val="20"/>
                <w:szCs w:val="20"/>
              </w:rPr>
            </w:pPr>
            <w:r w:rsidRPr="00E73CF5">
              <w:rPr>
                <w:sz w:val="20"/>
                <w:szCs w:val="20"/>
              </w:rPr>
              <w:t>Mexico</w:t>
            </w:r>
          </w:p>
          <w:p w14:paraId="223D7DF3" w14:textId="34F1374D" w:rsidR="0042315E" w:rsidRPr="00E73CF5" w:rsidRDefault="0042315E" w:rsidP="0042315E">
            <w:pPr>
              <w:jc w:val="center"/>
              <w:rPr>
                <w:sz w:val="20"/>
                <w:szCs w:val="20"/>
              </w:rPr>
            </w:pPr>
          </w:p>
        </w:tc>
        <w:tc>
          <w:tcPr>
            <w:tcW w:w="12049" w:type="dxa"/>
          </w:tcPr>
          <w:p w14:paraId="2C159631" w14:textId="77777777" w:rsidR="0042315E" w:rsidRPr="00E73CF5" w:rsidRDefault="0042315E" w:rsidP="0042315E">
            <w:pPr>
              <w:rPr>
                <w:sz w:val="20"/>
                <w:szCs w:val="20"/>
              </w:rPr>
            </w:pPr>
            <w:r w:rsidRPr="00E73CF5">
              <w:rPr>
                <w:sz w:val="20"/>
                <w:szCs w:val="20"/>
              </w:rPr>
              <w:t>3) Building the Integral Social Information System with the participation of a committee of independent experts as a single, objective and accessible repository of socioeconomic information of the potential population and served by social development programs.</w:t>
            </w:r>
          </w:p>
        </w:tc>
      </w:tr>
      <w:tr w:rsidR="0042315E" w:rsidRPr="00E73CF5" w14:paraId="5061516B" w14:textId="77777777" w:rsidTr="000A5230">
        <w:tc>
          <w:tcPr>
            <w:tcW w:w="1413" w:type="dxa"/>
          </w:tcPr>
          <w:p w14:paraId="3EF6A23B" w14:textId="77777777" w:rsidR="0042315E" w:rsidRPr="00E73CF5" w:rsidRDefault="0042315E" w:rsidP="0042315E">
            <w:pPr>
              <w:rPr>
                <w:sz w:val="20"/>
                <w:szCs w:val="20"/>
              </w:rPr>
            </w:pPr>
          </w:p>
        </w:tc>
        <w:tc>
          <w:tcPr>
            <w:tcW w:w="1134" w:type="dxa"/>
          </w:tcPr>
          <w:p w14:paraId="16BA74F2" w14:textId="528BE02F" w:rsidR="0042315E" w:rsidRPr="00E73CF5" w:rsidRDefault="0042315E" w:rsidP="0042315E">
            <w:pPr>
              <w:jc w:val="center"/>
              <w:rPr>
                <w:sz w:val="20"/>
                <w:szCs w:val="20"/>
              </w:rPr>
            </w:pPr>
            <w:r>
              <w:rPr>
                <w:sz w:val="20"/>
                <w:szCs w:val="20"/>
              </w:rPr>
              <w:t>Nigeria</w:t>
            </w:r>
          </w:p>
        </w:tc>
        <w:tc>
          <w:tcPr>
            <w:tcW w:w="12049" w:type="dxa"/>
          </w:tcPr>
          <w:p w14:paraId="0A2534A5" w14:textId="24E35E84" w:rsidR="0042315E" w:rsidRPr="00E73CF5" w:rsidRDefault="0042315E" w:rsidP="0042315E">
            <w:pPr>
              <w:rPr>
                <w:sz w:val="20"/>
                <w:szCs w:val="20"/>
              </w:rPr>
            </w:pPr>
            <w:r w:rsidRPr="00533DCC">
              <w:rPr>
                <w:sz w:val="20"/>
                <w:szCs w:val="20"/>
              </w:rPr>
              <w:t>1</w:t>
            </w:r>
            <w:r w:rsidR="00110B58">
              <w:rPr>
                <w:sz w:val="20"/>
                <w:szCs w:val="20"/>
              </w:rPr>
              <w:t>)</w:t>
            </w:r>
            <w:r w:rsidRPr="00533DCC">
              <w:rPr>
                <w:sz w:val="20"/>
                <w:szCs w:val="20"/>
              </w:rPr>
              <w:t xml:space="preserve"> Ensure more effective citizens’ participation across the entire budget cycle (Federal Ministry of Budget and National Planning). </w:t>
            </w:r>
            <w:r>
              <w:rPr>
                <w:sz w:val="20"/>
                <w:szCs w:val="20"/>
              </w:rPr>
              <w:t>E</w:t>
            </w:r>
            <w:r w:rsidRPr="00533DCC">
              <w:rPr>
                <w:sz w:val="20"/>
                <w:szCs w:val="20"/>
              </w:rPr>
              <w:t xml:space="preserve">nsure that citizens participate and make inputs into the budget process starting with the pre-budget statement, executive budget proposal, budget debate through public hearings in the legislature, implementation, monitoring and reporting of the budget. Budget information should also be made accessible to all. </w:t>
            </w:r>
          </w:p>
        </w:tc>
      </w:tr>
      <w:tr w:rsidR="0042315E" w:rsidRPr="00E73CF5" w14:paraId="3904167D" w14:textId="77777777" w:rsidTr="000A5230">
        <w:tc>
          <w:tcPr>
            <w:tcW w:w="1413" w:type="dxa"/>
          </w:tcPr>
          <w:p w14:paraId="0ADDD50C" w14:textId="77777777" w:rsidR="0042315E" w:rsidRPr="00E73CF5" w:rsidRDefault="0042315E" w:rsidP="0042315E">
            <w:pPr>
              <w:rPr>
                <w:sz w:val="20"/>
                <w:szCs w:val="20"/>
              </w:rPr>
            </w:pPr>
          </w:p>
        </w:tc>
        <w:tc>
          <w:tcPr>
            <w:tcW w:w="1134" w:type="dxa"/>
          </w:tcPr>
          <w:p w14:paraId="7B42D19F" w14:textId="77777777" w:rsidR="0042315E" w:rsidRPr="00E73CF5" w:rsidRDefault="0042315E" w:rsidP="0042315E">
            <w:pPr>
              <w:jc w:val="center"/>
              <w:rPr>
                <w:sz w:val="20"/>
                <w:szCs w:val="20"/>
              </w:rPr>
            </w:pPr>
            <w:r w:rsidRPr="00E73CF5">
              <w:rPr>
                <w:sz w:val="20"/>
                <w:szCs w:val="20"/>
              </w:rPr>
              <w:t>Paraguay</w:t>
            </w:r>
          </w:p>
          <w:p w14:paraId="4D70BDAB" w14:textId="41ADA3C0" w:rsidR="0042315E" w:rsidRPr="00E73CF5" w:rsidRDefault="0042315E" w:rsidP="0042315E">
            <w:pPr>
              <w:jc w:val="center"/>
              <w:rPr>
                <w:sz w:val="20"/>
                <w:szCs w:val="20"/>
              </w:rPr>
            </w:pPr>
          </w:p>
        </w:tc>
        <w:tc>
          <w:tcPr>
            <w:tcW w:w="12049" w:type="dxa"/>
          </w:tcPr>
          <w:p w14:paraId="79291B2A" w14:textId="77777777" w:rsidR="0042315E" w:rsidRPr="00E73CF5" w:rsidRDefault="0042315E" w:rsidP="0042315E">
            <w:pPr>
              <w:rPr>
                <w:sz w:val="20"/>
                <w:szCs w:val="20"/>
              </w:rPr>
            </w:pPr>
            <w:r w:rsidRPr="00E73CF5">
              <w:rPr>
                <w:sz w:val="20"/>
                <w:szCs w:val="20"/>
              </w:rPr>
              <w:t>4) Problem: The limited institutional mechanisms of accountability, timely reports and data on public expenditure and the difficulty of accessing electronic goods and services offered by the state constitute obstacles to citizen participation in public management. Objective: Increased accountability and improved results management system through citizen participation. Brief description: Making available, improving information and mechanisms for accountability for citizenship</w:t>
            </w:r>
          </w:p>
        </w:tc>
      </w:tr>
      <w:tr w:rsidR="0042315E" w:rsidRPr="00E73CF5" w14:paraId="086DC4BA" w14:textId="77777777" w:rsidTr="000A5230">
        <w:tc>
          <w:tcPr>
            <w:tcW w:w="1413" w:type="dxa"/>
          </w:tcPr>
          <w:p w14:paraId="6CDF998A" w14:textId="77777777" w:rsidR="0042315E" w:rsidRPr="00E73CF5" w:rsidRDefault="0042315E" w:rsidP="0042315E">
            <w:pPr>
              <w:rPr>
                <w:sz w:val="20"/>
                <w:szCs w:val="20"/>
              </w:rPr>
            </w:pPr>
          </w:p>
        </w:tc>
        <w:tc>
          <w:tcPr>
            <w:tcW w:w="1134" w:type="dxa"/>
          </w:tcPr>
          <w:p w14:paraId="5912450F" w14:textId="77777777" w:rsidR="0042315E" w:rsidRPr="00E73CF5" w:rsidRDefault="0042315E" w:rsidP="0042315E">
            <w:pPr>
              <w:jc w:val="center"/>
              <w:rPr>
                <w:sz w:val="20"/>
                <w:szCs w:val="20"/>
              </w:rPr>
            </w:pPr>
            <w:r w:rsidRPr="00E73CF5">
              <w:rPr>
                <w:sz w:val="20"/>
                <w:szCs w:val="20"/>
              </w:rPr>
              <w:t>Paraguay</w:t>
            </w:r>
          </w:p>
          <w:p w14:paraId="2CF02917" w14:textId="3D6FE6A0" w:rsidR="0042315E" w:rsidRPr="00E73CF5" w:rsidRDefault="0042315E" w:rsidP="0042315E">
            <w:pPr>
              <w:jc w:val="center"/>
              <w:rPr>
                <w:sz w:val="20"/>
                <w:szCs w:val="20"/>
              </w:rPr>
            </w:pPr>
          </w:p>
        </w:tc>
        <w:tc>
          <w:tcPr>
            <w:tcW w:w="12049" w:type="dxa"/>
          </w:tcPr>
          <w:p w14:paraId="14652CA0" w14:textId="77777777" w:rsidR="0042315E" w:rsidRPr="00E73CF5" w:rsidRDefault="0042315E" w:rsidP="0042315E">
            <w:pPr>
              <w:rPr>
                <w:sz w:val="20"/>
                <w:szCs w:val="20"/>
              </w:rPr>
            </w:pPr>
            <w:r w:rsidRPr="00E73CF5">
              <w:rPr>
                <w:sz w:val="20"/>
                <w:szCs w:val="20"/>
              </w:rPr>
              <w:t>7) To improve the quality of health services (MSPBS and IPS) through the involvement of citizens in the control of services and resources. Description: Implementation of quality policy for health services, and open data and public information available for users and professionals.</w:t>
            </w:r>
          </w:p>
        </w:tc>
      </w:tr>
      <w:tr w:rsidR="0042315E" w:rsidRPr="00E73CF5" w14:paraId="62FC1698" w14:textId="77777777" w:rsidTr="000A5230">
        <w:tc>
          <w:tcPr>
            <w:tcW w:w="1413" w:type="dxa"/>
          </w:tcPr>
          <w:p w14:paraId="7620DBCC" w14:textId="77777777" w:rsidR="0042315E" w:rsidRPr="00E73CF5" w:rsidRDefault="0042315E" w:rsidP="0042315E">
            <w:pPr>
              <w:rPr>
                <w:sz w:val="20"/>
                <w:szCs w:val="20"/>
              </w:rPr>
            </w:pPr>
          </w:p>
        </w:tc>
        <w:tc>
          <w:tcPr>
            <w:tcW w:w="1134" w:type="dxa"/>
          </w:tcPr>
          <w:p w14:paraId="58A94515" w14:textId="3F982BAF" w:rsidR="0042315E" w:rsidRPr="00E73CF5" w:rsidRDefault="0042315E" w:rsidP="00EA7718">
            <w:pPr>
              <w:jc w:val="center"/>
              <w:rPr>
                <w:sz w:val="20"/>
                <w:szCs w:val="20"/>
              </w:rPr>
            </w:pPr>
            <w:r w:rsidRPr="00E73CF5">
              <w:rPr>
                <w:sz w:val="20"/>
                <w:szCs w:val="20"/>
              </w:rPr>
              <w:t>Paraguay</w:t>
            </w:r>
          </w:p>
        </w:tc>
        <w:tc>
          <w:tcPr>
            <w:tcW w:w="12049" w:type="dxa"/>
          </w:tcPr>
          <w:p w14:paraId="70CC26DE" w14:textId="77777777" w:rsidR="0042315E" w:rsidRPr="00E73CF5" w:rsidRDefault="0042315E" w:rsidP="0042315E">
            <w:pPr>
              <w:rPr>
                <w:sz w:val="20"/>
                <w:szCs w:val="20"/>
              </w:rPr>
            </w:pPr>
            <w:r w:rsidRPr="00E73CF5">
              <w:rPr>
                <w:sz w:val="20"/>
                <w:szCs w:val="20"/>
              </w:rPr>
              <w:t>8) Information on FONACIDE (National Fund for Public Investment and Development), with monitoring tools and citizen empowerment.</w:t>
            </w:r>
          </w:p>
        </w:tc>
      </w:tr>
      <w:tr w:rsidR="0042315E" w:rsidRPr="00E73CF5" w14:paraId="73576983" w14:textId="77777777" w:rsidTr="000A5230">
        <w:tc>
          <w:tcPr>
            <w:tcW w:w="1413" w:type="dxa"/>
          </w:tcPr>
          <w:p w14:paraId="7BFBC079" w14:textId="77777777" w:rsidR="0042315E" w:rsidRPr="00E73CF5" w:rsidRDefault="0042315E" w:rsidP="0042315E">
            <w:pPr>
              <w:rPr>
                <w:sz w:val="20"/>
                <w:szCs w:val="20"/>
              </w:rPr>
            </w:pPr>
          </w:p>
        </w:tc>
        <w:tc>
          <w:tcPr>
            <w:tcW w:w="1134" w:type="dxa"/>
          </w:tcPr>
          <w:p w14:paraId="0413DA72" w14:textId="77777777" w:rsidR="0042315E" w:rsidRPr="00E73CF5" w:rsidRDefault="0042315E" w:rsidP="0042315E">
            <w:pPr>
              <w:jc w:val="center"/>
              <w:rPr>
                <w:sz w:val="20"/>
                <w:szCs w:val="20"/>
              </w:rPr>
            </w:pPr>
            <w:r w:rsidRPr="00E73CF5">
              <w:rPr>
                <w:sz w:val="20"/>
                <w:szCs w:val="20"/>
              </w:rPr>
              <w:t>Paraguay</w:t>
            </w:r>
          </w:p>
          <w:p w14:paraId="08AFFDE4" w14:textId="60970908" w:rsidR="0042315E" w:rsidRPr="00E73CF5" w:rsidRDefault="0042315E" w:rsidP="0042315E">
            <w:pPr>
              <w:jc w:val="center"/>
              <w:rPr>
                <w:sz w:val="20"/>
                <w:szCs w:val="20"/>
              </w:rPr>
            </w:pPr>
          </w:p>
        </w:tc>
        <w:tc>
          <w:tcPr>
            <w:tcW w:w="12049" w:type="dxa"/>
          </w:tcPr>
          <w:p w14:paraId="62ABC953" w14:textId="77777777" w:rsidR="0042315E" w:rsidRPr="00E73CF5" w:rsidRDefault="0042315E" w:rsidP="0042315E">
            <w:pPr>
              <w:rPr>
                <w:sz w:val="20"/>
                <w:szCs w:val="20"/>
              </w:rPr>
            </w:pPr>
            <w:r w:rsidRPr="00E73CF5">
              <w:rPr>
                <w:sz w:val="20"/>
                <w:szCs w:val="20"/>
              </w:rPr>
              <w:t>9) To develop citizen participation and control actions for a more transparent and socially auditable implementation for the following social programs: National Social Housing Fund Sustainable Rural Development Project and to strengthen instances of mixed participation.</w:t>
            </w:r>
          </w:p>
        </w:tc>
      </w:tr>
      <w:tr w:rsidR="0042315E" w:rsidRPr="00E73CF5" w14:paraId="5462102C" w14:textId="77777777" w:rsidTr="000A5230">
        <w:tc>
          <w:tcPr>
            <w:tcW w:w="1413" w:type="dxa"/>
          </w:tcPr>
          <w:p w14:paraId="40C80064" w14:textId="77777777" w:rsidR="0042315E" w:rsidRPr="00E73CF5" w:rsidRDefault="0042315E" w:rsidP="0042315E">
            <w:pPr>
              <w:rPr>
                <w:sz w:val="20"/>
                <w:szCs w:val="20"/>
              </w:rPr>
            </w:pPr>
          </w:p>
        </w:tc>
        <w:tc>
          <w:tcPr>
            <w:tcW w:w="1134" w:type="dxa"/>
          </w:tcPr>
          <w:p w14:paraId="19163727" w14:textId="4BD0AE97" w:rsidR="0042315E" w:rsidRPr="00E73CF5" w:rsidRDefault="0042315E" w:rsidP="00EA7718">
            <w:pPr>
              <w:jc w:val="center"/>
              <w:rPr>
                <w:sz w:val="20"/>
                <w:szCs w:val="20"/>
              </w:rPr>
            </w:pPr>
            <w:r w:rsidRPr="00E73CF5">
              <w:rPr>
                <w:sz w:val="20"/>
                <w:szCs w:val="20"/>
              </w:rPr>
              <w:t>Uruguay</w:t>
            </w:r>
          </w:p>
        </w:tc>
        <w:tc>
          <w:tcPr>
            <w:tcW w:w="12049" w:type="dxa"/>
          </w:tcPr>
          <w:p w14:paraId="044E8C1E" w14:textId="77777777" w:rsidR="0042315E" w:rsidRPr="00E73CF5" w:rsidRDefault="0042315E" w:rsidP="0042315E">
            <w:pPr>
              <w:rPr>
                <w:sz w:val="20"/>
                <w:szCs w:val="20"/>
              </w:rPr>
            </w:pPr>
            <w:r w:rsidRPr="00E73CF5">
              <w:rPr>
                <w:sz w:val="20"/>
                <w:szCs w:val="20"/>
              </w:rPr>
              <w:t xml:space="preserve">6) School maintenance plans will be carried out with the participation of the educational community: teachers, students, parents and </w:t>
            </w:r>
            <w:proofErr w:type="spellStart"/>
            <w:r w:rsidRPr="00E73CF5">
              <w:rPr>
                <w:sz w:val="20"/>
                <w:szCs w:val="20"/>
              </w:rPr>
              <w:t>neighbors</w:t>
            </w:r>
            <w:proofErr w:type="spellEnd"/>
            <w:r w:rsidRPr="00E73CF5">
              <w:rPr>
                <w:sz w:val="20"/>
                <w:szCs w:val="20"/>
              </w:rPr>
              <w:t xml:space="preserve">. </w:t>
            </w:r>
          </w:p>
        </w:tc>
      </w:tr>
      <w:tr w:rsidR="0042315E" w:rsidRPr="00E73CF5" w14:paraId="6D8809A2" w14:textId="77777777" w:rsidTr="000A5230">
        <w:tc>
          <w:tcPr>
            <w:tcW w:w="1413" w:type="dxa"/>
          </w:tcPr>
          <w:p w14:paraId="51134771" w14:textId="77777777" w:rsidR="0042315E" w:rsidRPr="00E73CF5" w:rsidRDefault="0042315E" w:rsidP="0042315E">
            <w:pPr>
              <w:rPr>
                <w:sz w:val="20"/>
                <w:szCs w:val="20"/>
              </w:rPr>
            </w:pPr>
          </w:p>
        </w:tc>
        <w:tc>
          <w:tcPr>
            <w:tcW w:w="1134" w:type="dxa"/>
          </w:tcPr>
          <w:p w14:paraId="6BA8A39F" w14:textId="77777777" w:rsidR="0042315E" w:rsidRPr="00E73CF5" w:rsidRDefault="0042315E" w:rsidP="0042315E">
            <w:pPr>
              <w:jc w:val="center"/>
              <w:rPr>
                <w:sz w:val="20"/>
                <w:szCs w:val="20"/>
              </w:rPr>
            </w:pPr>
            <w:r w:rsidRPr="00E73CF5">
              <w:rPr>
                <w:sz w:val="20"/>
                <w:szCs w:val="20"/>
              </w:rPr>
              <w:t>USA</w:t>
            </w:r>
          </w:p>
          <w:p w14:paraId="3F9A0858" w14:textId="18CD49F1" w:rsidR="0042315E" w:rsidRPr="00E73CF5" w:rsidRDefault="0042315E" w:rsidP="0042315E">
            <w:pPr>
              <w:jc w:val="center"/>
              <w:rPr>
                <w:sz w:val="20"/>
                <w:szCs w:val="20"/>
              </w:rPr>
            </w:pPr>
          </w:p>
        </w:tc>
        <w:tc>
          <w:tcPr>
            <w:tcW w:w="12049" w:type="dxa"/>
          </w:tcPr>
          <w:p w14:paraId="133EDBEF" w14:textId="77777777" w:rsidR="0042315E" w:rsidRPr="00E73CF5" w:rsidRDefault="0042315E" w:rsidP="0042315E">
            <w:pPr>
              <w:rPr>
                <w:sz w:val="20"/>
                <w:szCs w:val="20"/>
              </w:rPr>
            </w:pPr>
            <w:r w:rsidRPr="00E73CF5">
              <w:rPr>
                <w:sz w:val="20"/>
                <w:szCs w:val="20"/>
              </w:rPr>
              <w:t>34) To advance participatory budgeting in the United States, the White House will work with communities, non-profits, civic technologists, and foundation partners to develop new commitments that will expand the use of participatory budgeting. As a first step, the White House will convene an action-oriented Participatory Budgeting Workshop in 2015 to garner commitments that support community decision-making for certain projects using public funds.</w:t>
            </w:r>
          </w:p>
        </w:tc>
      </w:tr>
      <w:tr w:rsidR="0042315E" w:rsidRPr="00E73CF5" w14:paraId="134597A1" w14:textId="77777777" w:rsidTr="000A5230">
        <w:tc>
          <w:tcPr>
            <w:tcW w:w="1413" w:type="dxa"/>
          </w:tcPr>
          <w:p w14:paraId="09DC4B0F" w14:textId="77777777" w:rsidR="0042315E" w:rsidRPr="00E73CF5" w:rsidRDefault="0042315E" w:rsidP="0042315E">
            <w:pPr>
              <w:rPr>
                <w:sz w:val="20"/>
                <w:szCs w:val="20"/>
              </w:rPr>
            </w:pPr>
          </w:p>
        </w:tc>
        <w:tc>
          <w:tcPr>
            <w:tcW w:w="1134" w:type="dxa"/>
          </w:tcPr>
          <w:p w14:paraId="63382FD3" w14:textId="77777777" w:rsidR="0042315E" w:rsidRPr="00E73CF5" w:rsidRDefault="0042315E" w:rsidP="0042315E">
            <w:pPr>
              <w:jc w:val="center"/>
              <w:rPr>
                <w:sz w:val="20"/>
                <w:szCs w:val="20"/>
              </w:rPr>
            </w:pPr>
            <w:r w:rsidRPr="00E73CF5">
              <w:rPr>
                <w:sz w:val="20"/>
                <w:szCs w:val="20"/>
              </w:rPr>
              <w:t>USA</w:t>
            </w:r>
          </w:p>
          <w:p w14:paraId="7D8FA663" w14:textId="169A70C7" w:rsidR="0042315E" w:rsidRPr="00E73CF5" w:rsidRDefault="0042315E" w:rsidP="0042315E">
            <w:pPr>
              <w:jc w:val="center"/>
              <w:rPr>
                <w:sz w:val="20"/>
                <w:szCs w:val="20"/>
              </w:rPr>
            </w:pPr>
          </w:p>
        </w:tc>
        <w:tc>
          <w:tcPr>
            <w:tcW w:w="12049" w:type="dxa"/>
          </w:tcPr>
          <w:p w14:paraId="0AEF2405" w14:textId="77777777" w:rsidR="0042315E" w:rsidRPr="00E73CF5" w:rsidRDefault="0042315E" w:rsidP="0042315E">
            <w:pPr>
              <w:rPr>
                <w:sz w:val="20"/>
                <w:szCs w:val="20"/>
              </w:rPr>
            </w:pPr>
            <w:r w:rsidRPr="00E73CF5">
              <w:rPr>
                <w:sz w:val="20"/>
                <w:szCs w:val="20"/>
              </w:rPr>
              <w:t>34) To advance participatory budgeting the White House will work with communities, non-profits, civic technologists, and foundation partners to develop new commitments. As a first step, the White House will convene an action-oriented Participatory Budgeting Workshop in 2015 to garner commitments that support participatory budgeting.</w:t>
            </w:r>
          </w:p>
        </w:tc>
      </w:tr>
    </w:tbl>
    <w:p w14:paraId="5C344FB3" w14:textId="77777777" w:rsidR="009C421E" w:rsidRDefault="009C421E"/>
    <w:p w14:paraId="75AFE655" w14:textId="77777777" w:rsidR="00582093" w:rsidRDefault="00582093">
      <w:r>
        <w:br w:type="page"/>
      </w:r>
    </w:p>
    <w:p w14:paraId="36F16B08" w14:textId="77777777" w:rsidR="00D018FB" w:rsidRDefault="00D018FB">
      <w:pPr>
        <w:sectPr w:rsidR="00D018FB" w:rsidSect="00241347">
          <w:pgSz w:w="16838" w:h="11906" w:orient="landscape"/>
          <w:pgMar w:top="1440" w:right="1440" w:bottom="1440" w:left="1440" w:header="708" w:footer="708" w:gutter="0"/>
          <w:cols w:space="708"/>
          <w:docGrid w:linePitch="360"/>
        </w:sectPr>
      </w:pPr>
    </w:p>
    <w:p w14:paraId="57F64B58" w14:textId="1FC6C4C7" w:rsidR="00EE1A3A" w:rsidRPr="004A586F" w:rsidRDefault="00EE1A3A">
      <w:pPr>
        <w:rPr>
          <w:b/>
        </w:rPr>
      </w:pPr>
      <w:r w:rsidRPr="004A586F">
        <w:rPr>
          <w:b/>
        </w:rPr>
        <w:lastRenderedPageBreak/>
        <w:t>Annex 2</w:t>
      </w:r>
      <w:r w:rsidR="004A586F" w:rsidRPr="004A586F">
        <w:rPr>
          <w:b/>
        </w:rPr>
        <w:t>: Some notable practices in public participation in fiscal policy</w:t>
      </w:r>
      <w:r w:rsidR="00AF02D4">
        <w:rPr>
          <w:b/>
        </w:rPr>
        <w:t xml:space="preserve"> by the executive branch</w:t>
      </w:r>
      <w:r w:rsidR="00783640">
        <w:rPr>
          <w:b/>
        </w:rPr>
        <w:t xml:space="preserve"> (</w:t>
      </w:r>
      <w:r w:rsidR="00E67D0D">
        <w:rPr>
          <w:b/>
        </w:rPr>
        <w:t>excerpts</w:t>
      </w:r>
      <w:r w:rsidR="004A586F" w:rsidRPr="004A586F">
        <w:rPr>
          <w:b/>
        </w:rPr>
        <w:t xml:space="preserve"> from 2017 OBS</w:t>
      </w:r>
      <w:r w:rsidR="00E67D0D">
        <w:rPr>
          <w:b/>
        </w:rPr>
        <w:t xml:space="preserve"> Questionnaires</w:t>
      </w:r>
      <w:r w:rsidR="00783640">
        <w:rPr>
          <w:b/>
        </w:rPr>
        <w:t>).</w:t>
      </w:r>
    </w:p>
    <w:p w14:paraId="35AB34FF" w14:textId="57E98078" w:rsidR="00D2122C" w:rsidRPr="0025534A" w:rsidRDefault="000C73DA" w:rsidP="000C73DA">
      <w:pPr>
        <w:rPr>
          <w:b/>
        </w:rPr>
      </w:pPr>
      <w:r w:rsidRPr="0025534A">
        <w:rPr>
          <w:b/>
        </w:rPr>
        <w:t>Question 125: Does the executive use participation mechanisms through which the public can provide input during the</w:t>
      </w:r>
      <w:r w:rsidR="00C60998" w:rsidRPr="0025534A">
        <w:rPr>
          <w:b/>
        </w:rPr>
        <w:t xml:space="preserve"> </w:t>
      </w:r>
      <w:r w:rsidRPr="0025534A">
        <w:rPr>
          <w:b/>
        </w:rPr>
        <w:t xml:space="preserve">formulation of the annual budget (prior to the budget being tabled in parliament)? </w:t>
      </w:r>
    </w:p>
    <w:p w14:paraId="3FF82897" w14:textId="77777777" w:rsidR="00651B5B" w:rsidRDefault="00651B5B" w:rsidP="00651B5B">
      <w:r w:rsidRPr="00A152E3">
        <w:rPr>
          <w:b/>
        </w:rPr>
        <w:t>Malawi:</w:t>
      </w:r>
      <w:r>
        <w:t xml:space="preserve"> </w:t>
      </w:r>
      <w:r w:rsidRPr="0025534A">
        <w:rPr>
          <w:b/>
        </w:rPr>
        <w:t>score: a</w:t>
      </w:r>
      <w:r>
        <w:t xml:space="preserve"> (two-way exchange of views)</w:t>
      </w:r>
      <w:r>
        <w:br/>
        <w:t xml:space="preserve">There is an institutionalized inclusive process of soliciting public views on the budget every year by the Ministry of Finance, Economic Planning and Development, as stipulated in the </w:t>
      </w:r>
      <w:r w:rsidRPr="00A20CAC">
        <w:t xml:space="preserve">Constitution of the Republic of Malawi </w:t>
      </w:r>
      <w:r>
        <w:t xml:space="preserve">and in the </w:t>
      </w:r>
      <w:r w:rsidRPr="00A20CAC">
        <w:t>Budget Manual (2009)</w:t>
      </w:r>
      <w:r>
        <w:t xml:space="preserve">. </w:t>
      </w:r>
      <w:r w:rsidRPr="00A91D94">
        <w:t xml:space="preserve">Town hall meetings format of consultations are embraced in the major cities of the country and in some of the major colleges. Announcements for these broader hearings are made through the public and private media houses (both electronic and print) inviting key stakeholders and groups both in person and through written submissions, virtual and/or physical. </w:t>
      </w:r>
    </w:p>
    <w:p w14:paraId="61F86336" w14:textId="77777777" w:rsidR="00651B5B" w:rsidRDefault="00C60998" w:rsidP="00651B5B">
      <w:r w:rsidRPr="0025534A">
        <w:rPr>
          <w:b/>
        </w:rPr>
        <w:t>Philippines:</w:t>
      </w:r>
      <w:r>
        <w:t xml:space="preserve"> </w:t>
      </w:r>
      <w:r w:rsidRPr="0025534A">
        <w:rPr>
          <w:b/>
        </w:rPr>
        <w:t>score: a</w:t>
      </w:r>
      <w:r w:rsidR="00F915E5">
        <w:t xml:space="preserve"> (two-way exchange of views)</w:t>
      </w:r>
      <w:r w:rsidR="00F915E5">
        <w:br/>
      </w:r>
      <w:r>
        <w:t xml:space="preserve">National Budget Memorandum No. 125, containing the Budget Call for FY 2017, was issued on January 15, 2016. It provides for public participation by requiring each Agency Central Office to consolidate and submit to the Department of Budget and Management using Budget Preparation Form D. The form will contain reports of the different regional offices incorporating the Civil Society Organization (CSO) recommendation and feedback/inputs, including recommendations of the Local Poverty Reduction Action Team for Bottom-up Budgeting projects and from the Agency-lead consultations. </w:t>
      </w:r>
      <w:r>
        <w:br/>
      </w:r>
      <w:r w:rsidR="00651B5B">
        <w:br/>
      </w:r>
      <w:r w:rsidR="00651B5B" w:rsidRPr="00A152E3">
        <w:rPr>
          <w:b/>
        </w:rPr>
        <w:t>Australia:</w:t>
      </w:r>
      <w:r w:rsidR="00651B5B">
        <w:t xml:space="preserve"> </w:t>
      </w:r>
      <w:r w:rsidR="00651B5B" w:rsidRPr="0025534A">
        <w:rPr>
          <w:b/>
        </w:rPr>
        <w:t>score: b</w:t>
      </w:r>
      <w:r w:rsidR="00651B5B">
        <w:t xml:space="preserve"> (consultation but no exchange of views)</w:t>
      </w:r>
      <w:r w:rsidR="00651B5B">
        <w:br/>
        <w:t xml:space="preserve">Pre-Budget Submissions [online]. Full public consultation is conducted via Treasury. Submissions are received and made publicly available (except on request of conﬁdentiality by submitter), but there is no formal discourse between the public and government oﬃcials. </w:t>
      </w:r>
    </w:p>
    <w:p w14:paraId="61F9359F" w14:textId="651F4F70" w:rsidR="00E12CD7" w:rsidRDefault="00050099" w:rsidP="00E12CD7">
      <w:r w:rsidRPr="0025534A">
        <w:rPr>
          <w:b/>
        </w:rPr>
        <w:t>South Africa:</w:t>
      </w:r>
      <w:r>
        <w:t xml:space="preserve"> </w:t>
      </w:r>
      <w:r w:rsidRPr="0025534A">
        <w:rPr>
          <w:b/>
        </w:rPr>
        <w:t>score: b</w:t>
      </w:r>
      <w:r w:rsidR="00771829">
        <w:t xml:space="preserve"> </w:t>
      </w:r>
      <w:r w:rsidR="00771829" w:rsidRPr="00771829">
        <w:t>(consultation but no exchange of views)</w:t>
      </w:r>
      <w:r>
        <w:br/>
        <w:t>The Minister of Finance invited inputs via a press release</w:t>
      </w:r>
      <w:r w:rsidR="00990160">
        <w:t xml:space="preserve">. </w:t>
      </w:r>
      <w:r w:rsidR="00E12CD7">
        <w:t>In addition</w:t>
      </w:r>
      <w:r w:rsidR="00273F94">
        <w:t>: 1)</w:t>
      </w:r>
      <w:r w:rsidR="00E12CD7">
        <w:t xml:space="preserve"> Tips for Minister - which essentially allows the public to engage the minister with any input and ideas they have on the budget. 2) Workshop with CSOs - which is an annual platform for Civil Society</w:t>
      </w:r>
      <w:r w:rsidR="00273F94">
        <w:t xml:space="preserve"> </w:t>
      </w:r>
      <w:r w:rsidR="00E12CD7">
        <w:t>representatives to</w:t>
      </w:r>
      <w:r w:rsidR="00273F94">
        <w:br/>
        <w:t>e</w:t>
      </w:r>
      <w:r w:rsidR="00E12CD7">
        <w:t>ngage Treasury on the budget.</w:t>
      </w:r>
      <w:r w:rsidR="00A1638E">
        <w:t xml:space="preserve"> 3) </w:t>
      </w:r>
      <w:r w:rsidR="00A1638E" w:rsidRPr="00A1638E">
        <w:t xml:space="preserve">Budget Outreach to </w:t>
      </w:r>
      <w:r w:rsidR="00A1638E">
        <w:t>selected</w:t>
      </w:r>
      <w:r w:rsidR="00A1638E" w:rsidRPr="00A1638E">
        <w:t xml:space="preserve"> Universities</w:t>
      </w:r>
      <w:r w:rsidR="00A1638E">
        <w:t>.</w:t>
      </w:r>
    </w:p>
    <w:p w14:paraId="489D3E1E" w14:textId="2B7B1EF6" w:rsidR="000475F2" w:rsidRDefault="00247553" w:rsidP="00247553">
      <w:r w:rsidRPr="0025534A">
        <w:rPr>
          <w:b/>
        </w:rPr>
        <w:t>United Kingdom</w:t>
      </w:r>
      <w:r>
        <w:t xml:space="preserve">: </w:t>
      </w:r>
      <w:r w:rsidR="00580480" w:rsidRPr="0025534A">
        <w:rPr>
          <w:b/>
        </w:rPr>
        <w:t>s</w:t>
      </w:r>
      <w:r w:rsidRPr="0025534A">
        <w:rPr>
          <w:b/>
        </w:rPr>
        <w:t>core: b</w:t>
      </w:r>
      <w:r w:rsidR="00771829">
        <w:t xml:space="preserve"> </w:t>
      </w:r>
      <w:r w:rsidR="00771829" w:rsidRPr="00771829">
        <w:t>(consultation but no exchange of views)</w:t>
      </w:r>
      <w:r>
        <w:br/>
        <w:t>In 2011, HM Treasury committed to increased consultation specifically for tax policy decisions (HM Treasury and HMRC, "Tax consultation framework", March 2011</w:t>
      </w:r>
      <w:r w:rsidR="00CC48AE">
        <w:t xml:space="preserve">. </w:t>
      </w:r>
      <w:r>
        <w:t xml:space="preserve">It publishes a response to the inputs received during a consultation. At the end of a consultation, a summary of responses is published that includes a listing of those who made submissions. The number of consultations is sizeable: HM Treasury published 48 documents relating to consultations during the 2016 calendar year. </w:t>
      </w:r>
    </w:p>
    <w:p w14:paraId="3CC54527" w14:textId="33355F21" w:rsidR="00216F6D" w:rsidRDefault="00216F6D" w:rsidP="009706C5">
      <w:r w:rsidRPr="0025534A">
        <w:rPr>
          <w:b/>
        </w:rPr>
        <w:t>Croatia:</w:t>
      </w:r>
      <w:r>
        <w:t xml:space="preserve"> </w:t>
      </w:r>
      <w:r w:rsidRPr="0025534A">
        <w:rPr>
          <w:b/>
        </w:rPr>
        <w:t>score</w:t>
      </w:r>
      <w:r w:rsidR="009706C5" w:rsidRPr="0025534A">
        <w:rPr>
          <w:b/>
        </w:rPr>
        <w:t>:</w:t>
      </w:r>
      <w:r w:rsidRPr="0025534A">
        <w:rPr>
          <w:b/>
        </w:rPr>
        <w:t xml:space="preserve"> c</w:t>
      </w:r>
      <w:r w:rsidR="00FA0AEE">
        <w:t xml:space="preserve"> (either not open, or ad hoc)</w:t>
      </w:r>
      <w:r w:rsidR="00FA0AEE">
        <w:br/>
      </w:r>
      <w:r w:rsidR="009706C5">
        <w:t xml:space="preserve">The Economic and Social Council – a Tri-Partite body of </w:t>
      </w:r>
      <w:r w:rsidR="0086663D">
        <w:t xml:space="preserve">government, </w:t>
      </w:r>
      <w:r w:rsidR="009706C5">
        <w:t>employers, unions - evaluates and gives opinions on the budget proposal</w:t>
      </w:r>
      <w:r w:rsidR="0086663D">
        <w:t>.</w:t>
      </w:r>
    </w:p>
    <w:p w14:paraId="067C8D7C" w14:textId="77777777" w:rsidR="00651B5B" w:rsidRDefault="00651B5B" w:rsidP="00651B5B">
      <w:r w:rsidRPr="00A152E3">
        <w:rPr>
          <w:b/>
        </w:rPr>
        <w:lastRenderedPageBreak/>
        <w:t>New Zealand</w:t>
      </w:r>
      <w:r>
        <w:t xml:space="preserve">: </w:t>
      </w:r>
      <w:r w:rsidRPr="0025534A">
        <w:rPr>
          <w:b/>
        </w:rPr>
        <w:t>score: c</w:t>
      </w:r>
      <w:r>
        <w:t xml:space="preserve"> (either not open, or ad hoc)</w:t>
      </w:r>
      <w:r>
        <w:br/>
        <w:t xml:space="preserve">Treasury convenes two panels by invitation for discussion and prioritisation of budget initiatives proposed by sector ministries/departments, a Social Investment Panel, and a </w:t>
      </w:r>
      <w:r w:rsidRPr="00280332">
        <w:t>(Capital) Investment Panel</w:t>
      </w:r>
      <w:r>
        <w:t>.</w:t>
      </w:r>
      <w:r w:rsidRPr="00280332">
        <w:t xml:space="preserve"> </w:t>
      </w:r>
      <w:r w:rsidRPr="00D6368A">
        <w:t xml:space="preserve">Panel members includes representatives of NGOs involved in the delivery of social services, university-based science advisors, a representative from Maori/iwi (tribal) community-based organisations and other external organisations, as well as senior officials from Treasury and selected </w:t>
      </w:r>
      <w:r>
        <w:t>agencies. Panels meet at two stages of the policy formulation process, first in November as part of an initial "triage" process to determine which policy proposal are to be further developed and considered for inclusion in the next annual budget, with advice provided to respective ministry/departmental teams responsible for how to further develop specific policy proposals, and then again for 3-5 days in February to assess and prioritise proposals for inclusion in the annual budget based on a consensus. Panels produce a report to Treasury senior management and relevant ministers with their assessments of proposed policy initiatives. The reports are made publicly available on the Treasury website.</w:t>
      </w:r>
    </w:p>
    <w:p w14:paraId="37D70353" w14:textId="1ECD7E50" w:rsidR="008F3374" w:rsidRDefault="008F3374" w:rsidP="00990160">
      <w:r w:rsidRPr="0025534A">
        <w:rPr>
          <w:b/>
        </w:rPr>
        <w:t>Nigeria</w:t>
      </w:r>
      <w:r w:rsidRPr="00651B5B">
        <w:t>: score:</w:t>
      </w:r>
      <w:r w:rsidRPr="00582093">
        <w:t xml:space="preserve"> c</w:t>
      </w:r>
      <w:r w:rsidR="00FA0AEE">
        <w:t xml:space="preserve"> (either not open, or ad hoc)</w:t>
      </w:r>
      <w:r w:rsidR="00FA0AEE">
        <w:br/>
      </w:r>
      <w:r w:rsidR="00990160" w:rsidRPr="00990160">
        <w:t>A consultative forum on the 2017 budget cycle held on the 20th of July 2016</w:t>
      </w:r>
      <w:r w:rsidR="00990160">
        <w:t>, to which s</w:t>
      </w:r>
      <w:r>
        <w:t xml:space="preserve">ome selected organisation </w:t>
      </w:r>
      <w:proofErr w:type="gramStart"/>
      <w:r>
        <w:t>were</w:t>
      </w:r>
      <w:proofErr w:type="gramEnd"/>
      <w:r>
        <w:t xml:space="preserve"> invited. The Minister gave a presentation about government projections,</w:t>
      </w:r>
      <w:r w:rsidR="00990160">
        <w:t xml:space="preserve"> </w:t>
      </w:r>
      <w:r>
        <w:t>among other items</w:t>
      </w:r>
      <w:r w:rsidR="00990160">
        <w:t xml:space="preserve">. </w:t>
      </w:r>
      <w:r>
        <w:t xml:space="preserve"> </w:t>
      </w:r>
    </w:p>
    <w:p w14:paraId="2FAAD15A" w14:textId="19FC35C1" w:rsidR="00EE1A3A" w:rsidRDefault="00F26543" w:rsidP="00F26543">
      <w:r w:rsidRPr="0025534A">
        <w:rPr>
          <w:b/>
        </w:rPr>
        <w:t>Ukraine: score: c</w:t>
      </w:r>
      <w:r w:rsidR="00F915E5">
        <w:t xml:space="preserve"> (either not open, or ad hoc)</w:t>
      </w:r>
      <w:r>
        <w:br/>
        <w:t>Expert hearings on the Budget 2017 are conducted by top officials of the Ministry of Finance</w:t>
      </w:r>
      <w:r w:rsidR="00FD629F">
        <w:t>.</w:t>
      </w:r>
      <w:r>
        <w:t xml:space="preserve"> The executive uses participation mechanisms during the budget formulation phase,</w:t>
      </w:r>
      <w:r w:rsidR="00FD629F">
        <w:t xml:space="preserve"> </w:t>
      </w:r>
      <w:r>
        <w:t xml:space="preserve">the executive invites specific individuals or groups for budget discussions, participation is not, in practice, open to everyone. </w:t>
      </w:r>
      <w:r w:rsidR="00EE1A3A">
        <w:br w:type="page"/>
      </w:r>
    </w:p>
    <w:p w14:paraId="34E9F2BB" w14:textId="2B8F9BD5" w:rsidR="00F32971" w:rsidRPr="000A5230" w:rsidRDefault="00EE1A3A">
      <w:pPr>
        <w:rPr>
          <w:b/>
        </w:rPr>
      </w:pPr>
      <w:r w:rsidRPr="000A5230">
        <w:rPr>
          <w:b/>
        </w:rPr>
        <w:lastRenderedPageBreak/>
        <w:t xml:space="preserve">Annex 3: Text of OGP Commitments by GIFT Stewards that </w:t>
      </w:r>
      <w:r w:rsidR="00F32971" w:rsidRPr="000A5230">
        <w:rPr>
          <w:b/>
        </w:rPr>
        <w:t xml:space="preserve">relate to </w:t>
      </w:r>
      <w:proofErr w:type="gramStart"/>
      <w:r w:rsidR="00F32971" w:rsidRPr="000A5230">
        <w:rPr>
          <w:b/>
        </w:rPr>
        <w:t>general public</w:t>
      </w:r>
      <w:proofErr w:type="gramEnd"/>
      <w:r w:rsidR="00F32971" w:rsidRPr="000A5230">
        <w:rPr>
          <w:b/>
        </w:rPr>
        <w:t xml:space="preserve"> participation, not specifically related to </w:t>
      </w:r>
      <w:r w:rsidR="0094638C">
        <w:rPr>
          <w:b/>
        </w:rPr>
        <w:t xml:space="preserve">public </w:t>
      </w:r>
      <w:r w:rsidR="00F32971" w:rsidRPr="000A5230">
        <w:rPr>
          <w:b/>
        </w:rPr>
        <w:t>participation in fiscal policy</w:t>
      </w:r>
    </w:p>
    <w:p w14:paraId="5756B3AC" w14:textId="2709E706" w:rsidR="0042315E" w:rsidRPr="0042315E" w:rsidRDefault="0042315E" w:rsidP="00241347">
      <w:pPr>
        <w:rPr>
          <w:i/>
        </w:rPr>
      </w:pPr>
      <w:r>
        <w:rPr>
          <w:i/>
        </w:rPr>
        <w:t>Colombia</w:t>
      </w:r>
      <w:r w:rsidR="00241347">
        <w:rPr>
          <w:i/>
        </w:rPr>
        <w:br/>
      </w:r>
      <w:r w:rsidRPr="0042315E">
        <w:rPr>
          <w:rFonts w:ascii="Calibri" w:eastAsia="Calibri" w:hAnsi="Calibri" w:cs="Times New Roman"/>
        </w:rPr>
        <w:t>Commitment 3: Create and implement the Single System of Public Consultation (SUCOP).</w:t>
      </w:r>
      <w:r w:rsidR="009C421E">
        <w:rPr>
          <w:rFonts w:ascii="Calibri" w:eastAsia="Calibri" w:hAnsi="Calibri" w:cs="Times New Roman"/>
        </w:rPr>
        <w:t xml:space="preserve"> </w:t>
      </w:r>
      <w:r w:rsidRPr="0042315E">
        <w:rPr>
          <w:rFonts w:ascii="Calibri" w:eastAsia="Calibri" w:hAnsi="Calibri" w:cs="Times New Roman"/>
        </w:rPr>
        <w:t>Related to government regulation-making.</w:t>
      </w:r>
    </w:p>
    <w:p w14:paraId="5AE2AE55" w14:textId="68BA68D0" w:rsidR="00F32971" w:rsidRPr="00241347" w:rsidRDefault="009272C2" w:rsidP="00F32971">
      <w:pPr>
        <w:rPr>
          <w:i/>
        </w:rPr>
      </w:pPr>
      <w:r>
        <w:rPr>
          <w:i/>
        </w:rPr>
        <w:t>Indonesia</w:t>
      </w:r>
      <w:r w:rsidR="00241347">
        <w:rPr>
          <w:i/>
        </w:rPr>
        <w:br/>
      </w:r>
      <w:r w:rsidR="00F32971" w:rsidRPr="009C421E">
        <w:t>Commitment 2: Public agency consultation guidelines (Ministry of State Apparatus and Civil Service Reform). Formulation of guidance and guidelines for public agencies to conduct regular public consultation in the process of policy planning, implementation, and monitoring pursuant to Law 25/ 2009 on Public Services.</w:t>
      </w:r>
      <w:r w:rsidR="00241347">
        <w:rPr>
          <w:i/>
        </w:rPr>
        <w:br/>
      </w:r>
      <w:r w:rsidR="00F32971" w:rsidRPr="009C421E">
        <w:t>Commitment 3: Good governance manual and public consultations to reach SDGs (Ministry of National Development Planning).</w:t>
      </w:r>
      <w:r w:rsidR="00241347">
        <w:rPr>
          <w:i/>
        </w:rPr>
        <w:br/>
      </w:r>
      <w:r w:rsidR="00F32971" w:rsidRPr="009C421E">
        <w:t>Commitments 9-15: strengthen public complaints systems</w:t>
      </w:r>
    </w:p>
    <w:p w14:paraId="4EA0F8AE" w14:textId="3803A833" w:rsidR="006176AB" w:rsidRPr="00241347" w:rsidRDefault="006C6D89" w:rsidP="006176AB">
      <w:pPr>
        <w:rPr>
          <w:i/>
        </w:rPr>
      </w:pPr>
      <w:r>
        <w:rPr>
          <w:i/>
        </w:rPr>
        <w:t>Philippines</w:t>
      </w:r>
      <w:r w:rsidR="00241347">
        <w:rPr>
          <w:i/>
        </w:rPr>
        <w:br/>
      </w:r>
      <w:r w:rsidRPr="009C421E">
        <w:t>Commitment 5.B Government feedback mechanism (Government Commission for Government Owned and Controlled Corporations)</w:t>
      </w:r>
      <w:r w:rsidR="009C421E">
        <w:t xml:space="preserve">. </w:t>
      </w:r>
      <w:r>
        <w:t>Develop a</w:t>
      </w:r>
      <w:r w:rsidRPr="000F0F65">
        <w:t xml:space="preserve"> standardized methodology on the conduct of the GOCCs’ Customer Satisfaction Survey that will periodically indicate the perceived satisfaction level of their respective customers with respect to GOCC operations and</w:t>
      </w:r>
      <w:r>
        <w:t xml:space="preserve"> services.</w:t>
      </w:r>
      <w:r w:rsidR="00241347">
        <w:rPr>
          <w:i/>
        </w:rPr>
        <w:br/>
      </w:r>
      <w:r w:rsidR="006176AB" w:rsidRPr="009C421E">
        <w:t>7. E-participation through the national government portal (Department of Information and Communications Technology).</w:t>
      </w:r>
      <w:r w:rsidR="009C421E">
        <w:rPr>
          <w:i/>
        </w:rPr>
        <w:t xml:space="preserve"> </w:t>
      </w:r>
      <w:r w:rsidR="006176AB" w:rsidRPr="00EC3B25">
        <w:t>E-Participation in the National Government Portal (www.gov.ph) is a set of online tools that is programmed to redefine the relationship between the government and its citizens. The tools provide access to government information, space for consultation, and a platform for collaboration. E-Participation has three components: 1. E-Information, which arms citizens with open data and public information, without demand; 2. E-Consultation, which engages citizens in contributions and deliberations to public policies and services; 3. E-Decision- Making, which empowers citizens to co-design policies and co-produce government service components</w:t>
      </w:r>
      <w:r w:rsidR="006176AB">
        <w:t>.</w:t>
      </w:r>
    </w:p>
    <w:p w14:paraId="1A52D631" w14:textId="0EF41230" w:rsidR="000A5230" w:rsidRPr="000A5230" w:rsidRDefault="000A5230" w:rsidP="00241347">
      <w:r w:rsidRPr="0025534A">
        <w:rPr>
          <w:i/>
        </w:rPr>
        <w:t>Ukraine</w:t>
      </w:r>
      <w:r w:rsidR="00241347">
        <w:br/>
      </w:r>
      <w:r w:rsidRPr="000A5230">
        <w:rPr>
          <w:rFonts w:ascii="Calibri" w:eastAsia="Calibri" w:hAnsi="Calibri" w:cs="Times New Roman"/>
        </w:rPr>
        <w:t>Commitment 12: Development of a draft law on public consultations.</w:t>
      </w:r>
      <w:r w:rsidR="00241347">
        <w:br/>
      </w:r>
      <w:r w:rsidRPr="000A5230">
        <w:rPr>
          <w:rFonts w:ascii="Calibri" w:eastAsia="Calibri" w:hAnsi="Calibri" w:cs="Times New Roman"/>
        </w:rPr>
        <w:t>Commitment 13: Development of e-democracy.</w:t>
      </w:r>
    </w:p>
    <w:p w14:paraId="42BBB67A" w14:textId="77777777" w:rsidR="000A5230" w:rsidRDefault="000A5230" w:rsidP="006176AB"/>
    <w:sectPr w:rsidR="000A5230" w:rsidSect="0025534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1C1BA" w14:textId="77777777" w:rsidR="00567DE5" w:rsidRDefault="00567DE5" w:rsidP="002357E2">
      <w:pPr>
        <w:spacing w:after="0" w:line="240" w:lineRule="auto"/>
      </w:pPr>
      <w:r>
        <w:separator/>
      </w:r>
    </w:p>
  </w:endnote>
  <w:endnote w:type="continuationSeparator" w:id="0">
    <w:p w14:paraId="115633F8" w14:textId="77777777" w:rsidR="00567DE5" w:rsidRDefault="00567DE5" w:rsidP="00235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7770318"/>
      <w:docPartObj>
        <w:docPartGallery w:val="Page Numbers (Bottom of Page)"/>
        <w:docPartUnique/>
      </w:docPartObj>
    </w:sdtPr>
    <w:sdtEndPr>
      <w:rPr>
        <w:noProof/>
      </w:rPr>
    </w:sdtEndPr>
    <w:sdtContent>
      <w:p w14:paraId="38DB10A7" w14:textId="389E8F56" w:rsidR="00CF13AA" w:rsidRDefault="00CF13AA">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471AA93D" w14:textId="77777777" w:rsidR="00CF13AA" w:rsidRDefault="00CF13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CE4CE" w14:textId="77777777" w:rsidR="00567DE5" w:rsidRDefault="00567DE5" w:rsidP="002357E2">
      <w:pPr>
        <w:spacing w:after="0" w:line="240" w:lineRule="auto"/>
      </w:pPr>
      <w:r>
        <w:separator/>
      </w:r>
    </w:p>
  </w:footnote>
  <w:footnote w:type="continuationSeparator" w:id="0">
    <w:p w14:paraId="79A7D898" w14:textId="77777777" w:rsidR="00567DE5" w:rsidRDefault="00567DE5" w:rsidP="002357E2">
      <w:pPr>
        <w:spacing w:after="0" w:line="240" w:lineRule="auto"/>
      </w:pPr>
      <w:r>
        <w:continuationSeparator/>
      </w:r>
    </w:p>
  </w:footnote>
  <w:footnote w:id="1">
    <w:p w14:paraId="07D56D22" w14:textId="4B7EB86A" w:rsidR="00CF13AA" w:rsidRDefault="00CF13AA">
      <w:pPr>
        <w:pStyle w:val="FootnoteText"/>
      </w:pPr>
      <w:r>
        <w:rPr>
          <w:rStyle w:val="FootnoteReference"/>
        </w:rPr>
        <w:footnoteRef/>
      </w:r>
      <w:r>
        <w:t xml:space="preserve"> </w:t>
      </w:r>
      <w:r w:rsidRPr="00320C2E">
        <w:t>Global peer group leaders’ OBI scores</w:t>
      </w:r>
      <w:r>
        <w:t xml:space="preserve"> are</w:t>
      </w:r>
      <w:r w:rsidRPr="00320C2E">
        <w:t>: high income: N</w:t>
      </w:r>
      <w:r>
        <w:t xml:space="preserve">ew </w:t>
      </w:r>
      <w:r w:rsidRPr="00320C2E">
        <w:t>Z</w:t>
      </w:r>
      <w:r>
        <w:t>ealand</w:t>
      </w:r>
      <w:r w:rsidRPr="00320C2E">
        <w:t xml:space="preserve"> 89; upper middle income: South Africa 89; lower middle income: Georgia 82; low income: Uganda 60.</w:t>
      </w:r>
    </w:p>
  </w:footnote>
  <w:footnote w:id="2">
    <w:p w14:paraId="08A0B941" w14:textId="77777777" w:rsidR="00CF13AA" w:rsidRPr="00AE2F35" w:rsidRDefault="00CF13AA" w:rsidP="006F61ED">
      <w:pPr>
        <w:pStyle w:val="FootnoteText"/>
      </w:pPr>
      <w:r>
        <w:rPr>
          <w:rStyle w:val="FootnoteReference"/>
        </w:rPr>
        <w:footnoteRef/>
      </w:r>
      <w:r>
        <w:t xml:space="preserve"> See </w:t>
      </w:r>
      <w:r w:rsidRPr="00AE2F35">
        <w:t>https://pefa.org/assessments/listing</w:t>
      </w:r>
    </w:p>
    <w:p w14:paraId="04B07DBB" w14:textId="411974C0" w:rsidR="00CF13AA" w:rsidRDefault="00CF13AA">
      <w:pPr>
        <w:pStyle w:val="FootnoteText"/>
      </w:pPr>
    </w:p>
  </w:footnote>
  <w:footnote w:id="3">
    <w:p w14:paraId="388D71F1" w14:textId="77777777" w:rsidR="00CF13AA" w:rsidRDefault="00CF13AA" w:rsidP="00F863D4">
      <w:pPr>
        <w:pStyle w:val="FootnoteText"/>
      </w:pPr>
      <w:r>
        <w:rPr>
          <w:rStyle w:val="FootnoteReference"/>
        </w:rPr>
        <w:footnoteRef/>
      </w:r>
      <w:r>
        <w:t xml:space="preserve"> Argentina and Croatia have had PEFAs for sub-national governments but not for central government.</w:t>
      </w:r>
    </w:p>
    <w:p w14:paraId="2558F1BC" w14:textId="77777777" w:rsidR="00CF13AA" w:rsidRPr="00AE2F35" w:rsidRDefault="00CF13AA" w:rsidP="00F863D4">
      <w:pPr>
        <w:pStyle w:val="FootnoteText"/>
      </w:pPr>
      <w:r>
        <w:t>Chile, Mexico, and USA have not had a PEFA.</w:t>
      </w:r>
    </w:p>
  </w:footnote>
  <w:footnote w:id="4">
    <w:p w14:paraId="2780CCF9" w14:textId="1258B28E" w:rsidR="00CF13AA" w:rsidRDefault="00CF13AA">
      <w:pPr>
        <w:pStyle w:val="FootnoteText"/>
      </w:pPr>
      <w:r>
        <w:rPr>
          <w:rStyle w:val="FootnoteReference"/>
        </w:rPr>
        <w:footnoteRef/>
      </w:r>
      <w:r>
        <w:t xml:space="preserve"> The 2018 Guatemala assessment has not been published but would appear to be still in the process of being finalised.</w:t>
      </w:r>
    </w:p>
  </w:footnote>
  <w:footnote w:id="5">
    <w:p w14:paraId="070D42B8" w14:textId="2DD5EBF8" w:rsidR="00CF13AA" w:rsidRDefault="00CF13AA">
      <w:pPr>
        <w:pStyle w:val="FootnoteText"/>
      </w:pPr>
      <w:r>
        <w:rPr>
          <w:rStyle w:val="FootnoteReference"/>
        </w:rPr>
        <w:footnoteRef/>
      </w:r>
      <w:r>
        <w:t xml:space="preserve"> GIFT Partner Liberia is also a member of the OGP (Egypt is not), but Liberia’s OGP commitments are not included in this analysis.</w:t>
      </w:r>
    </w:p>
  </w:footnote>
  <w:footnote w:id="6">
    <w:p w14:paraId="1CBAF4A9" w14:textId="7A565536" w:rsidR="00CF13AA" w:rsidRDefault="00CF13AA">
      <w:pPr>
        <w:pStyle w:val="FootnoteText"/>
      </w:pPr>
      <w:r>
        <w:rPr>
          <w:rStyle w:val="FootnoteReference"/>
        </w:rPr>
        <w:footnoteRef/>
      </w:r>
      <w:r>
        <w:t xml:space="preserve"> </w:t>
      </w:r>
      <w:r w:rsidRPr="000A192C">
        <w:t>Commitments in Guatemala’s Action Plan refer to all of these: achieving progress in application of budget methodology and guidelines in the IMF FTC as assessed in the Fiscal Transparency Evaluation; promoting citizen participation in key stages of the budget through mechanisms that reflect the GIFT Participation Principles; increase score on the OBI; and efforts to comply with OECD Global Tax Transparency Forum Standard.</w:t>
      </w:r>
    </w:p>
  </w:footnote>
  <w:footnote w:id="7">
    <w:p w14:paraId="330619FC" w14:textId="6D86E8C3" w:rsidR="00CF13AA" w:rsidRDefault="00CF13AA">
      <w:pPr>
        <w:pStyle w:val="FootnoteText"/>
      </w:pPr>
      <w:r>
        <w:rPr>
          <w:rStyle w:val="FootnoteReference"/>
        </w:rPr>
        <w:footnoteRef/>
      </w:r>
      <w:r>
        <w:t xml:space="preserve"> This adjusts the total of commitments to reflect that many commitments are relevant to, and have been coded to, more than one High Level Principle.</w:t>
      </w:r>
    </w:p>
  </w:footnote>
  <w:footnote w:id="8">
    <w:p w14:paraId="12C1C8AA" w14:textId="77777777" w:rsidR="00CF13AA" w:rsidRDefault="00CF13AA" w:rsidP="00E73CF5">
      <w:pPr>
        <w:pStyle w:val="FootnoteText"/>
      </w:pPr>
      <w:r>
        <w:rPr>
          <w:rStyle w:val="FootnoteReference"/>
        </w:rPr>
        <w:footnoteRef/>
      </w:r>
      <w:r>
        <w:t xml:space="preserve"> Reporting of natural resource revenues is in category HLP3d below.</w:t>
      </w:r>
    </w:p>
  </w:footnote>
  <w:footnote w:id="9">
    <w:p w14:paraId="2F3BD888" w14:textId="77777777" w:rsidR="00CF13AA" w:rsidRDefault="00CF13AA" w:rsidP="00E73CF5">
      <w:pPr>
        <w:pStyle w:val="FootnoteText"/>
      </w:pPr>
      <w:r>
        <w:rPr>
          <w:rStyle w:val="FootnoteReference"/>
        </w:rPr>
        <w:footnoteRef/>
      </w:r>
      <w:r>
        <w:t xml:space="preserve"> Including service planning, and publication of service delivery information and standards.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3C9D8" w14:textId="38552937" w:rsidR="00CF13AA" w:rsidRDefault="00CF13AA">
    <w:pPr>
      <w:pStyle w:val="Header"/>
    </w:pPr>
    <w:r>
      <w:ptab w:relativeTo="margin" w:alignment="center" w:leader="none"/>
    </w:r>
    <w:r w:rsidR="008C3DE4">
      <w:t>1</w:t>
    </w:r>
    <w:r w:rsidR="008C3DE4">
      <w:t>0 October</w:t>
    </w:r>
    <w:r>
      <w:t xml:space="preserv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6223"/>
    <w:multiLevelType w:val="hybridMultilevel"/>
    <w:tmpl w:val="FE70CE48"/>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4F55783"/>
    <w:multiLevelType w:val="hybridMultilevel"/>
    <w:tmpl w:val="F28C768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6186BF7"/>
    <w:multiLevelType w:val="hybridMultilevel"/>
    <w:tmpl w:val="6BECD1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0732D67"/>
    <w:multiLevelType w:val="hybridMultilevel"/>
    <w:tmpl w:val="64E417C8"/>
    <w:lvl w:ilvl="0" w:tplc="712E4E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C7883"/>
    <w:multiLevelType w:val="hybridMultilevel"/>
    <w:tmpl w:val="33EAE8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9336DF8"/>
    <w:multiLevelType w:val="hybridMultilevel"/>
    <w:tmpl w:val="3B72E36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D667841"/>
    <w:multiLevelType w:val="hybridMultilevel"/>
    <w:tmpl w:val="0EA64662"/>
    <w:lvl w:ilvl="0" w:tplc="14090017">
      <w:start w:val="1"/>
      <w:numFmt w:val="lowerLetter"/>
      <w:lvlText w:val="%1)"/>
      <w:lvlJc w:val="left"/>
      <w:pPr>
        <w:ind w:left="3600" w:hanging="360"/>
      </w:pPr>
      <w:rPr>
        <w:rFonts w:hint="default"/>
      </w:rPr>
    </w:lvl>
    <w:lvl w:ilvl="1" w:tplc="14090019" w:tentative="1">
      <w:start w:val="1"/>
      <w:numFmt w:val="lowerLetter"/>
      <w:lvlText w:val="%2."/>
      <w:lvlJc w:val="left"/>
      <w:pPr>
        <w:ind w:left="4320" w:hanging="360"/>
      </w:pPr>
    </w:lvl>
    <w:lvl w:ilvl="2" w:tplc="1409001B" w:tentative="1">
      <w:start w:val="1"/>
      <w:numFmt w:val="lowerRoman"/>
      <w:lvlText w:val="%3."/>
      <w:lvlJc w:val="right"/>
      <w:pPr>
        <w:ind w:left="5040" w:hanging="180"/>
      </w:pPr>
    </w:lvl>
    <w:lvl w:ilvl="3" w:tplc="1409000F" w:tentative="1">
      <w:start w:val="1"/>
      <w:numFmt w:val="decimal"/>
      <w:lvlText w:val="%4."/>
      <w:lvlJc w:val="left"/>
      <w:pPr>
        <w:ind w:left="5760" w:hanging="360"/>
      </w:pPr>
    </w:lvl>
    <w:lvl w:ilvl="4" w:tplc="14090019" w:tentative="1">
      <w:start w:val="1"/>
      <w:numFmt w:val="lowerLetter"/>
      <w:lvlText w:val="%5."/>
      <w:lvlJc w:val="left"/>
      <w:pPr>
        <w:ind w:left="6480" w:hanging="360"/>
      </w:pPr>
    </w:lvl>
    <w:lvl w:ilvl="5" w:tplc="1409001B" w:tentative="1">
      <w:start w:val="1"/>
      <w:numFmt w:val="lowerRoman"/>
      <w:lvlText w:val="%6."/>
      <w:lvlJc w:val="right"/>
      <w:pPr>
        <w:ind w:left="7200" w:hanging="180"/>
      </w:pPr>
    </w:lvl>
    <w:lvl w:ilvl="6" w:tplc="1409000F" w:tentative="1">
      <w:start w:val="1"/>
      <w:numFmt w:val="decimal"/>
      <w:lvlText w:val="%7."/>
      <w:lvlJc w:val="left"/>
      <w:pPr>
        <w:ind w:left="7920" w:hanging="360"/>
      </w:pPr>
    </w:lvl>
    <w:lvl w:ilvl="7" w:tplc="14090019" w:tentative="1">
      <w:start w:val="1"/>
      <w:numFmt w:val="lowerLetter"/>
      <w:lvlText w:val="%8."/>
      <w:lvlJc w:val="left"/>
      <w:pPr>
        <w:ind w:left="8640" w:hanging="360"/>
      </w:pPr>
    </w:lvl>
    <w:lvl w:ilvl="8" w:tplc="1409001B" w:tentative="1">
      <w:start w:val="1"/>
      <w:numFmt w:val="lowerRoman"/>
      <w:lvlText w:val="%9."/>
      <w:lvlJc w:val="right"/>
      <w:pPr>
        <w:ind w:left="9360" w:hanging="180"/>
      </w:pPr>
    </w:lvl>
  </w:abstractNum>
  <w:abstractNum w:abstractNumId="7" w15:restartNumberingAfterBreak="0">
    <w:nsid w:val="1DB97E33"/>
    <w:multiLevelType w:val="hybridMultilevel"/>
    <w:tmpl w:val="65BE86FC"/>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8" w15:restartNumberingAfterBreak="0">
    <w:nsid w:val="231E728E"/>
    <w:multiLevelType w:val="hybridMultilevel"/>
    <w:tmpl w:val="C64E43AE"/>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43A7854"/>
    <w:multiLevelType w:val="hybridMultilevel"/>
    <w:tmpl w:val="ABDA3F48"/>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B010909"/>
    <w:multiLevelType w:val="hybridMultilevel"/>
    <w:tmpl w:val="8BC6CE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B285115"/>
    <w:multiLevelType w:val="hybridMultilevel"/>
    <w:tmpl w:val="617C594E"/>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C031BC3"/>
    <w:multiLevelType w:val="hybridMultilevel"/>
    <w:tmpl w:val="8C0883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DCA4D8A"/>
    <w:multiLevelType w:val="hybridMultilevel"/>
    <w:tmpl w:val="C4A4818E"/>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14" w15:restartNumberingAfterBreak="0">
    <w:nsid w:val="3C387995"/>
    <w:multiLevelType w:val="hybridMultilevel"/>
    <w:tmpl w:val="2E1C5A2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DC9130A"/>
    <w:multiLevelType w:val="hybridMultilevel"/>
    <w:tmpl w:val="78F83B1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F9B2408"/>
    <w:multiLevelType w:val="hybridMultilevel"/>
    <w:tmpl w:val="21C61C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8F86FE8"/>
    <w:multiLevelType w:val="hybridMultilevel"/>
    <w:tmpl w:val="E24E5E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DD750F9"/>
    <w:multiLevelType w:val="hybridMultilevel"/>
    <w:tmpl w:val="40EC21E6"/>
    <w:lvl w:ilvl="0" w:tplc="14090013">
      <w:start w:val="1"/>
      <w:numFmt w:val="upp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5F1C7BC2"/>
    <w:multiLevelType w:val="hybridMultilevel"/>
    <w:tmpl w:val="F000EEB4"/>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632A0419"/>
    <w:multiLevelType w:val="hybridMultilevel"/>
    <w:tmpl w:val="D974E8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0B76DBC"/>
    <w:multiLevelType w:val="hybridMultilevel"/>
    <w:tmpl w:val="070E00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2AF71D0"/>
    <w:multiLevelType w:val="hybridMultilevel"/>
    <w:tmpl w:val="0AF259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5EB1008"/>
    <w:multiLevelType w:val="hybridMultilevel"/>
    <w:tmpl w:val="530EA9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6C81EAD"/>
    <w:multiLevelType w:val="hybridMultilevel"/>
    <w:tmpl w:val="2C2C1CF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79353D72"/>
    <w:multiLevelType w:val="hybridMultilevel"/>
    <w:tmpl w:val="1A72EC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A9200A6"/>
    <w:multiLevelType w:val="hybridMultilevel"/>
    <w:tmpl w:val="28301B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3"/>
  </w:num>
  <w:num w:numId="4">
    <w:abstractNumId w:val="14"/>
  </w:num>
  <w:num w:numId="5">
    <w:abstractNumId w:val="0"/>
  </w:num>
  <w:num w:numId="6">
    <w:abstractNumId w:val="11"/>
  </w:num>
  <w:num w:numId="7">
    <w:abstractNumId w:val="19"/>
  </w:num>
  <w:num w:numId="8">
    <w:abstractNumId w:val="15"/>
  </w:num>
  <w:num w:numId="9">
    <w:abstractNumId w:val="8"/>
  </w:num>
  <w:num w:numId="10">
    <w:abstractNumId w:val="16"/>
  </w:num>
  <w:num w:numId="11">
    <w:abstractNumId w:val="22"/>
  </w:num>
  <w:num w:numId="12">
    <w:abstractNumId w:val="26"/>
  </w:num>
  <w:num w:numId="13">
    <w:abstractNumId w:val="21"/>
  </w:num>
  <w:num w:numId="14">
    <w:abstractNumId w:val="25"/>
  </w:num>
  <w:num w:numId="15">
    <w:abstractNumId w:val="12"/>
  </w:num>
  <w:num w:numId="16">
    <w:abstractNumId w:val="2"/>
  </w:num>
  <w:num w:numId="17">
    <w:abstractNumId w:val="5"/>
  </w:num>
  <w:num w:numId="18">
    <w:abstractNumId w:val="20"/>
  </w:num>
  <w:num w:numId="19">
    <w:abstractNumId w:val="4"/>
  </w:num>
  <w:num w:numId="20">
    <w:abstractNumId w:val="18"/>
  </w:num>
  <w:num w:numId="21">
    <w:abstractNumId w:val="1"/>
  </w:num>
  <w:num w:numId="22">
    <w:abstractNumId w:val="24"/>
  </w:num>
  <w:num w:numId="23">
    <w:abstractNumId w:val="23"/>
  </w:num>
  <w:num w:numId="24">
    <w:abstractNumId w:val="3"/>
  </w:num>
  <w:num w:numId="25">
    <w:abstractNumId w:val="9"/>
  </w:num>
  <w:num w:numId="26">
    <w:abstractNumId w:val="10"/>
  </w:num>
  <w:num w:numId="27">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0B5"/>
    <w:rsid w:val="000001B5"/>
    <w:rsid w:val="00003EF0"/>
    <w:rsid w:val="000078D6"/>
    <w:rsid w:val="00010B50"/>
    <w:rsid w:val="00011860"/>
    <w:rsid w:val="000132D8"/>
    <w:rsid w:val="00013C8B"/>
    <w:rsid w:val="00017A2A"/>
    <w:rsid w:val="000245AB"/>
    <w:rsid w:val="00030A25"/>
    <w:rsid w:val="00034AA6"/>
    <w:rsid w:val="0004105F"/>
    <w:rsid w:val="00046ABF"/>
    <w:rsid w:val="000475F2"/>
    <w:rsid w:val="0005005F"/>
    <w:rsid w:val="00050099"/>
    <w:rsid w:val="00050E58"/>
    <w:rsid w:val="00050FD5"/>
    <w:rsid w:val="000511EA"/>
    <w:rsid w:val="00052DB6"/>
    <w:rsid w:val="00053310"/>
    <w:rsid w:val="00054673"/>
    <w:rsid w:val="000547BE"/>
    <w:rsid w:val="000548AE"/>
    <w:rsid w:val="000625B5"/>
    <w:rsid w:val="00062632"/>
    <w:rsid w:val="00062781"/>
    <w:rsid w:val="0006505B"/>
    <w:rsid w:val="00067456"/>
    <w:rsid w:val="00070267"/>
    <w:rsid w:val="0007114E"/>
    <w:rsid w:val="000768D8"/>
    <w:rsid w:val="000809CA"/>
    <w:rsid w:val="00080C10"/>
    <w:rsid w:val="00081D0B"/>
    <w:rsid w:val="0008243B"/>
    <w:rsid w:val="00085568"/>
    <w:rsid w:val="000863EB"/>
    <w:rsid w:val="0008680A"/>
    <w:rsid w:val="000940DB"/>
    <w:rsid w:val="000963CB"/>
    <w:rsid w:val="00097358"/>
    <w:rsid w:val="000A145E"/>
    <w:rsid w:val="000A192C"/>
    <w:rsid w:val="000A262C"/>
    <w:rsid w:val="000A351F"/>
    <w:rsid w:val="000A5230"/>
    <w:rsid w:val="000B33B7"/>
    <w:rsid w:val="000C2697"/>
    <w:rsid w:val="000C3E45"/>
    <w:rsid w:val="000C4703"/>
    <w:rsid w:val="000C4DBD"/>
    <w:rsid w:val="000C73DA"/>
    <w:rsid w:val="000C7543"/>
    <w:rsid w:val="000D0959"/>
    <w:rsid w:val="000D1947"/>
    <w:rsid w:val="000D1AEE"/>
    <w:rsid w:val="000D2333"/>
    <w:rsid w:val="000D3328"/>
    <w:rsid w:val="000D349F"/>
    <w:rsid w:val="000D7814"/>
    <w:rsid w:val="000E4350"/>
    <w:rsid w:val="000E6E0E"/>
    <w:rsid w:val="000E7809"/>
    <w:rsid w:val="000F026F"/>
    <w:rsid w:val="000F48C4"/>
    <w:rsid w:val="000F50D8"/>
    <w:rsid w:val="000F6805"/>
    <w:rsid w:val="0010188E"/>
    <w:rsid w:val="00103B45"/>
    <w:rsid w:val="001048D2"/>
    <w:rsid w:val="00104B2D"/>
    <w:rsid w:val="0010574B"/>
    <w:rsid w:val="00110B58"/>
    <w:rsid w:val="00113A3E"/>
    <w:rsid w:val="0011417B"/>
    <w:rsid w:val="00115566"/>
    <w:rsid w:val="001178AE"/>
    <w:rsid w:val="0012412E"/>
    <w:rsid w:val="00124B39"/>
    <w:rsid w:val="001260CB"/>
    <w:rsid w:val="00126BDA"/>
    <w:rsid w:val="001331E5"/>
    <w:rsid w:val="001346BB"/>
    <w:rsid w:val="00136F69"/>
    <w:rsid w:val="0014326D"/>
    <w:rsid w:val="001453B9"/>
    <w:rsid w:val="0015297B"/>
    <w:rsid w:val="0015425D"/>
    <w:rsid w:val="001549CF"/>
    <w:rsid w:val="00157984"/>
    <w:rsid w:val="001624FC"/>
    <w:rsid w:val="0016344F"/>
    <w:rsid w:val="00172636"/>
    <w:rsid w:val="001733A3"/>
    <w:rsid w:val="001758D3"/>
    <w:rsid w:val="00181860"/>
    <w:rsid w:val="00182570"/>
    <w:rsid w:val="00183449"/>
    <w:rsid w:val="0018396B"/>
    <w:rsid w:val="00183D07"/>
    <w:rsid w:val="001918A1"/>
    <w:rsid w:val="00191D69"/>
    <w:rsid w:val="00196AF8"/>
    <w:rsid w:val="00197D0A"/>
    <w:rsid w:val="001A47C4"/>
    <w:rsid w:val="001B1F1B"/>
    <w:rsid w:val="001B30F3"/>
    <w:rsid w:val="001B4161"/>
    <w:rsid w:val="001B5EDC"/>
    <w:rsid w:val="001C5C9B"/>
    <w:rsid w:val="001D5976"/>
    <w:rsid w:val="001D726A"/>
    <w:rsid w:val="001D742C"/>
    <w:rsid w:val="001E0CD8"/>
    <w:rsid w:val="001E0EFB"/>
    <w:rsid w:val="001F2E2A"/>
    <w:rsid w:val="001F2EDB"/>
    <w:rsid w:val="001F3CBF"/>
    <w:rsid w:val="001F4DD7"/>
    <w:rsid w:val="00200475"/>
    <w:rsid w:val="00200669"/>
    <w:rsid w:val="002006BD"/>
    <w:rsid w:val="0020578C"/>
    <w:rsid w:val="00210068"/>
    <w:rsid w:val="00213B9B"/>
    <w:rsid w:val="00213D5E"/>
    <w:rsid w:val="00214D3C"/>
    <w:rsid w:val="00216921"/>
    <w:rsid w:val="00216F6D"/>
    <w:rsid w:val="002200D3"/>
    <w:rsid w:val="00223332"/>
    <w:rsid w:val="00224818"/>
    <w:rsid w:val="00225B6F"/>
    <w:rsid w:val="00225C06"/>
    <w:rsid w:val="00230814"/>
    <w:rsid w:val="00230F59"/>
    <w:rsid w:val="0023100F"/>
    <w:rsid w:val="00231D02"/>
    <w:rsid w:val="00232AF5"/>
    <w:rsid w:val="002357E2"/>
    <w:rsid w:val="00241347"/>
    <w:rsid w:val="0024403B"/>
    <w:rsid w:val="00244BDD"/>
    <w:rsid w:val="002456B5"/>
    <w:rsid w:val="00247553"/>
    <w:rsid w:val="00251C71"/>
    <w:rsid w:val="002520CE"/>
    <w:rsid w:val="00253D8C"/>
    <w:rsid w:val="0025534A"/>
    <w:rsid w:val="00257271"/>
    <w:rsid w:val="0026415C"/>
    <w:rsid w:val="00271898"/>
    <w:rsid w:val="00273F94"/>
    <w:rsid w:val="00274D42"/>
    <w:rsid w:val="00275A8A"/>
    <w:rsid w:val="00277712"/>
    <w:rsid w:val="00280332"/>
    <w:rsid w:val="00287796"/>
    <w:rsid w:val="0029198E"/>
    <w:rsid w:val="002926E3"/>
    <w:rsid w:val="00292CEC"/>
    <w:rsid w:val="002949EA"/>
    <w:rsid w:val="00295747"/>
    <w:rsid w:val="002962A0"/>
    <w:rsid w:val="002A0D0D"/>
    <w:rsid w:val="002A1799"/>
    <w:rsid w:val="002A1AA8"/>
    <w:rsid w:val="002A2AAF"/>
    <w:rsid w:val="002A55CD"/>
    <w:rsid w:val="002A75FB"/>
    <w:rsid w:val="002B0D15"/>
    <w:rsid w:val="002B1D5C"/>
    <w:rsid w:val="002B3437"/>
    <w:rsid w:val="002B3992"/>
    <w:rsid w:val="002B39A3"/>
    <w:rsid w:val="002B3B06"/>
    <w:rsid w:val="002B4AEE"/>
    <w:rsid w:val="002B5718"/>
    <w:rsid w:val="002B78AD"/>
    <w:rsid w:val="002B7FB3"/>
    <w:rsid w:val="002C25CC"/>
    <w:rsid w:val="002C53E3"/>
    <w:rsid w:val="002C5EE6"/>
    <w:rsid w:val="002D0465"/>
    <w:rsid w:val="002D06F4"/>
    <w:rsid w:val="002D1CDD"/>
    <w:rsid w:val="002D440B"/>
    <w:rsid w:val="002E2C9E"/>
    <w:rsid w:val="002E5863"/>
    <w:rsid w:val="002E59E3"/>
    <w:rsid w:val="002E6049"/>
    <w:rsid w:val="002F5208"/>
    <w:rsid w:val="002F79FE"/>
    <w:rsid w:val="002F7B64"/>
    <w:rsid w:val="0030353A"/>
    <w:rsid w:val="0030433F"/>
    <w:rsid w:val="003064E3"/>
    <w:rsid w:val="00306AB4"/>
    <w:rsid w:val="003070B5"/>
    <w:rsid w:val="00307B56"/>
    <w:rsid w:val="00307BFF"/>
    <w:rsid w:val="00311408"/>
    <w:rsid w:val="00311BAE"/>
    <w:rsid w:val="00314F7F"/>
    <w:rsid w:val="00320C2E"/>
    <w:rsid w:val="003211F5"/>
    <w:rsid w:val="00321B04"/>
    <w:rsid w:val="00323084"/>
    <w:rsid w:val="00325581"/>
    <w:rsid w:val="0032567F"/>
    <w:rsid w:val="00326405"/>
    <w:rsid w:val="003268BC"/>
    <w:rsid w:val="003304FB"/>
    <w:rsid w:val="003321FC"/>
    <w:rsid w:val="00333642"/>
    <w:rsid w:val="00335BF4"/>
    <w:rsid w:val="00336932"/>
    <w:rsid w:val="003376CD"/>
    <w:rsid w:val="00341A3F"/>
    <w:rsid w:val="00341D8E"/>
    <w:rsid w:val="003424C4"/>
    <w:rsid w:val="00343125"/>
    <w:rsid w:val="003465B0"/>
    <w:rsid w:val="0035268D"/>
    <w:rsid w:val="003545BA"/>
    <w:rsid w:val="00360D11"/>
    <w:rsid w:val="00364CA4"/>
    <w:rsid w:val="003718CC"/>
    <w:rsid w:val="00372FA2"/>
    <w:rsid w:val="003759A4"/>
    <w:rsid w:val="00380FC6"/>
    <w:rsid w:val="00381038"/>
    <w:rsid w:val="003834C7"/>
    <w:rsid w:val="00383A8E"/>
    <w:rsid w:val="00383CEB"/>
    <w:rsid w:val="003857F4"/>
    <w:rsid w:val="003864A8"/>
    <w:rsid w:val="003941B9"/>
    <w:rsid w:val="00396B59"/>
    <w:rsid w:val="00397596"/>
    <w:rsid w:val="003A03D7"/>
    <w:rsid w:val="003A1501"/>
    <w:rsid w:val="003A2803"/>
    <w:rsid w:val="003A51EE"/>
    <w:rsid w:val="003A6C03"/>
    <w:rsid w:val="003B5402"/>
    <w:rsid w:val="003E6C28"/>
    <w:rsid w:val="003F31BC"/>
    <w:rsid w:val="003F63A9"/>
    <w:rsid w:val="003F66AD"/>
    <w:rsid w:val="00403727"/>
    <w:rsid w:val="00403CCC"/>
    <w:rsid w:val="00406C08"/>
    <w:rsid w:val="00413765"/>
    <w:rsid w:val="00414CCE"/>
    <w:rsid w:val="00421BDF"/>
    <w:rsid w:val="0042315E"/>
    <w:rsid w:val="00423D93"/>
    <w:rsid w:val="00424668"/>
    <w:rsid w:val="004344A1"/>
    <w:rsid w:val="004436FE"/>
    <w:rsid w:val="0044676E"/>
    <w:rsid w:val="0044701B"/>
    <w:rsid w:val="00447D3D"/>
    <w:rsid w:val="00450251"/>
    <w:rsid w:val="0045290E"/>
    <w:rsid w:val="00454AB4"/>
    <w:rsid w:val="00455203"/>
    <w:rsid w:val="00455DBC"/>
    <w:rsid w:val="00461CCD"/>
    <w:rsid w:val="00472179"/>
    <w:rsid w:val="0047242D"/>
    <w:rsid w:val="00474DDF"/>
    <w:rsid w:val="00475C50"/>
    <w:rsid w:val="00480CAD"/>
    <w:rsid w:val="00485CC2"/>
    <w:rsid w:val="004911E2"/>
    <w:rsid w:val="004926EF"/>
    <w:rsid w:val="00494483"/>
    <w:rsid w:val="00496519"/>
    <w:rsid w:val="004965BE"/>
    <w:rsid w:val="004A586F"/>
    <w:rsid w:val="004B3B1F"/>
    <w:rsid w:val="004B4376"/>
    <w:rsid w:val="004B4421"/>
    <w:rsid w:val="004B4D62"/>
    <w:rsid w:val="004B596A"/>
    <w:rsid w:val="004B5B2E"/>
    <w:rsid w:val="004C0D4E"/>
    <w:rsid w:val="004C19EA"/>
    <w:rsid w:val="004C22D6"/>
    <w:rsid w:val="004C2F8B"/>
    <w:rsid w:val="004C40EB"/>
    <w:rsid w:val="004C54DE"/>
    <w:rsid w:val="004C66A7"/>
    <w:rsid w:val="004C6EC2"/>
    <w:rsid w:val="004C73BA"/>
    <w:rsid w:val="004D033F"/>
    <w:rsid w:val="004D0871"/>
    <w:rsid w:val="004D2073"/>
    <w:rsid w:val="004D2925"/>
    <w:rsid w:val="004D3DEC"/>
    <w:rsid w:val="004D42F0"/>
    <w:rsid w:val="004D5BE0"/>
    <w:rsid w:val="004E33ED"/>
    <w:rsid w:val="004E3513"/>
    <w:rsid w:val="004E40A0"/>
    <w:rsid w:val="004E7573"/>
    <w:rsid w:val="004E77AE"/>
    <w:rsid w:val="004F0931"/>
    <w:rsid w:val="0050713E"/>
    <w:rsid w:val="00507D98"/>
    <w:rsid w:val="005113D9"/>
    <w:rsid w:val="00512EA2"/>
    <w:rsid w:val="005143DF"/>
    <w:rsid w:val="00516453"/>
    <w:rsid w:val="0051797E"/>
    <w:rsid w:val="00521959"/>
    <w:rsid w:val="005267C9"/>
    <w:rsid w:val="00533DCC"/>
    <w:rsid w:val="00535B95"/>
    <w:rsid w:val="00537076"/>
    <w:rsid w:val="00537A49"/>
    <w:rsid w:val="00541B0D"/>
    <w:rsid w:val="00542216"/>
    <w:rsid w:val="00542259"/>
    <w:rsid w:val="00544B50"/>
    <w:rsid w:val="005504D2"/>
    <w:rsid w:val="00553587"/>
    <w:rsid w:val="00553E71"/>
    <w:rsid w:val="00553EF5"/>
    <w:rsid w:val="005551A2"/>
    <w:rsid w:val="005560CE"/>
    <w:rsid w:val="00556575"/>
    <w:rsid w:val="00556BCB"/>
    <w:rsid w:val="00562A68"/>
    <w:rsid w:val="0056614C"/>
    <w:rsid w:val="005663B4"/>
    <w:rsid w:val="00566A34"/>
    <w:rsid w:val="00567DE5"/>
    <w:rsid w:val="005743C7"/>
    <w:rsid w:val="00575263"/>
    <w:rsid w:val="00580480"/>
    <w:rsid w:val="00580CA4"/>
    <w:rsid w:val="00581EF0"/>
    <w:rsid w:val="00582093"/>
    <w:rsid w:val="00584A9E"/>
    <w:rsid w:val="00586B74"/>
    <w:rsid w:val="0058773E"/>
    <w:rsid w:val="005903F1"/>
    <w:rsid w:val="005954A8"/>
    <w:rsid w:val="005A00EB"/>
    <w:rsid w:val="005A0603"/>
    <w:rsid w:val="005A305D"/>
    <w:rsid w:val="005A5E21"/>
    <w:rsid w:val="005A6E91"/>
    <w:rsid w:val="005B1422"/>
    <w:rsid w:val="005B19ED"/>
    <w:rsid w:val="005B3F8D"/>
    <w:rsid w:val="005B4A83"/>
    <w:rsid w:val="005C093F"/>
    <w:rsid w:val="005C239B"/>
    <w:rsid w:val="005C62B6"/>
    <w:rsid w:val="005D0208"/>
    <w:rsid w:val="005D08FE"/>
    <w:rsid w:val="005D2DD2"/>
    <w:rsid w:val="005D63EC"/>
    <w:rsid w:val="005D67F3"/>
    <w:rsid w:val="005D69F9"/>
    <w:rsid w:val="005D7ADC"/>
    <w:rsid w:val="005E0C43"/>
    <w:rsid w:val="005E50E9"/>
    <w:rsid w:val="005F2669"/>
    <w:rsid w:val="005F5090"/>
    <w:rsid w:val="005F50E3"/>
    <w:rsid w:val="006052F7"/>
    <w:rsid w:val="00611F02"/>
    <w:rsid w:val="00615079"/>
    <w:rsid w:val="006170C2"/>
    <w:rsid w:val="006176AB"/>
    <w:rsid w:val="006264AF"/>
    <w:rsid w:val="00627009"/>
    <w:rsid w:val="0063579E"/>
    <w:rsid w:val="00640C3D"/>
    <w:rsid w:val="0064174C"/>
    <w:rsid w:val="00641A7A"/>
    <w:rsid w:val="0064238F"/>
    <w:rsid w:val="00642F89"/>
    <w:rsid w:val="00646A4F"/>
    <w:rsid w:val="00650F71"/>
    <w:rsid w:val="006512BF"/>
    <w:rsid w:val="00651B5B"/>
    <w:rsid w:val="00653AD1"/>
    <w:rsid w:val="00654840"/>
    <w:rsid w:val="00655453"/>
    <w:rsid w:val="00656970"/>
    <w:rsid w:val="006576A0"/>
    <w:rsid w:val="00661BCC"/>
    <w:rsid w:val="0066541B"/>
    <w:rsid w:val="006676D8"/>
    <w:rsid w:val="006704FF"/>
    <w:rsid w:val="006705A6"/>
    <w:rsid w:val="006715E8"/>
    <w:rsid w:val="0067390F"/>
    <w:rsid w:val="00676CD8"/>
    <w:rsid w:val="0067731E"/>
    <w:rsid w:val="00685C3A"/>
    <w:rsid w:val="00693F85"/>
    <w:rsid w:val="0069657C"/>
    <w:rsid w:val="00696AFA"/>
    <w:rsid w:val="006A17C9"/>
    <w:rsid w:val="006A63A9"/>
    <w:rsid w:val="006B0DBE"/>
    <w:rsid w:val="006B1D2B"/>
    <w:rsid w:val="006B5A01"/>
    <w:rsid w:val="006B6D38"/>
    <w:rsid w:val="006C1F4F"/>
    <w:rsid w:val="006C364A"/>
    <w:rsid w:val="006C3DB9"/>
    <w:rsid w:val="006C4271"/>
    <w:rsid w:val="006C6D89"/>
    <w:rsid w:val="006D0918"/>
    <w:rsid w:val="006D4452"/>
    <w:rsid w:val="006D47E7"/>
    <w:rsid w:val="006E17A1"/>
    <w:rsid w:val="006E6F8A"/>
    <w:rsid w:val="006F072E"/>
    <w:rsid w:val="006F1DF5"/>
    <w:rsid w:val="006F22BC"/>
    <w:rsid w:val="006F525D"/>
    <w:rsid w:val="006F550F"/>
    <w:rsid w:val="006F61ED"/>
    <w:rsid w:val="00701075"/>
    <w:rsid w:val="00702EE2"/>
    <w:rsid w:val="007044B2"/>
    <w:rsid w:val="00705BC6"/>
    <w:rsid w:val="00706292"/>
    <w:rsid w:val="00706EC7"/>
    <w:rsid w:val="007078DD"/>
    <w:rsid w:val="00710F26"/>
    <w:rsid w:val="007117E0"/>
    <w:rsid w:val="00715D4D"/>
    <w:rsid w:val="0071720F"/>
    <w:rsid w:val="00717247"/>
    <w:rsid w:val="007211E8"/>
    <w:rsid w:val="00725D04"/>
    <w:rsid w:val="0072718D"/>
    <w:rsid w:val="00730B99"/>
    <w:rsid w:val="00733E8E"/>
    <w:rsid w:val="00734733"/>
    <w:rsid w:val="00740390"/>
    <w:rsid w:val="00745318"/>
    <w:rsid w:val="00745C50"/>
    <w:rsid w:val="0074741A"/>
    <w:rsid w:val="00747CB1"/>
    <w:rsid w:val="007526C3"/>
    <w:rsid w:val="007544A5"/>
    <w:rsid w:val="007577A1"/>
    <w:rsid w:val="007578A2"/>
    <w:rsid w:val="007617E6"/>
    <w:rsid w:val="00761B10"/>
    <w:rsid w:val="00766757"/>
    <w:rsid w:val="00770635"/>
    <w:rsid w:val="00771829"/>
    <w:rsid w:val="00783640"/>
    <w:rsid w:val="00790CCA"/>
    <w:rsid w:val="00793959"/>
    <w:rsid w:val="007A040C"/>
    <w:rsid w:val="007A05DA"/>
    <w:rsid w:val="007A1256"/>
    <w:rsid w:val="007A258E"/>
    <w:rsid w:val="007A3F59"/>
    <w:rsid w:val="007A50FE"/>
    <w:rsid w:val="007A5A35"/>
    <w:rsid w:val="007A7384"/>
    <w:rsid w:val="007B0CFE"/>
    <w:rsid w:val="007B3100"/>
    <w:rsid w:val="007B46A1"/>
    <w:rsid w:val="007C3240"/>
    <w:rsid w:val="007C3588"/>
    <w:rsid w:val="007C3BBA"/>
    <w:rsid w:val="007C4911"/>
    <w:rsid w:val="007C53B4"/>
    <w:rsid w:val="007C7039"/>
    <w:rsid w:val="007D071B"/>
    <w:rsid w:val="007D6C62"/>
    <w:rsid w:val="007D72D9"/>
    <w:rsid w:val="007E31D5"/>
    <w:rsid w:val="007E4E70"/>
    <w:rsid w:val="007E739B"/>
    <w:rsid w:val="007F03E2"/>
    <w:rsid w:val="007F45B5"/>
    <w:rsid w:val="007F79DB"/>
    <w:rsid w:val="00800E4D"/>
    <w:rsid w:val="0080187B"/>
    <w:rsid w:val="008029D4"/>
    <w:rsid w:val="0081207E"/>
    <w:rsid w:val="00816440"/>
    <w:rsid w:val="00817E64"/>
    <w:rsid w:val="00822651"/>
    <w:rsid w:val="00822C97"/>
    <w:rsid w:val="008231B2"/>
    <w:rsid w:val="00823B22"/>
    <w:rsid w:val="00825357"/>
    <w:rsid w:val="00827CBA"/>
    <w:rsid w:val="00830309"/>
    <w:rsid w:val="00830E33"/>
    <w:rsid w:val="00831236"/>
    <w:rsid w:val="00832A75"/>
    <w:rsid w:val="00833CCC"/>
    <w:rsid w:val="0083459D"/>
    <w:rsid w:val="00834F46"/>
    <w:rsid w:val="0083605F"/>
    <w:rsid w:val="00837B05"/>
    <w:rsid w:val="00843B4E"/>
    <w:rsid w:val="00844EE3"/>
    <w:rsid w:val="00847947"/>
    <w:rsid w:val="00847FCA"/>
    <w:rsid w:val="00851552"/>
    <w:rsid w:val="008528CE"/>
    <w:rsid w:val="008559BE"/>
    <w:rsid w:val="00856749"/>
    <w:rsid w:val="008615AF"/>
    <w:rsid w:val="008623D5"/>
    <w:rsid w:val="0086663D"/>
    <w:rsid w:val="00876F86"/>
    <w:rsid w:val="00881D3D"/>
    <w:rsid w:val="008974AE"/>
    <w:rsid w:val="0089791C"/>
    <w:rsid w:val="008A00C9"/>
    <w:rsid w:val="008A23BF"/>
    <w:rsid w:val="008A31B7"/>
    <w:rsid w:val="008B066D"/>
    <w:rsid w:val="008B474F"/>
    <w:rsid w:val="008C3065"/>
    <w:rsid w:val="008C3DE4"/>
    <w:rsid w:val="008C6870"/>
    <w:rsid w:val="008C74AE"/>
    <w:rsid w:val="008D1245"/>
    <w:rsid w:val="008D2C2E"/>
    <w:rsid w:val="008D416A"/>
    <w:rsid w:val="008D479C"/>
    <w:rsid w:val="008D4EDE"/>
    <w:rsid w:val="008D6222"/>
    <w:rsid w:val="008E12F4"/>
    <w:rsid w:val="008E3021"/>
    <w:rsid w:val="008E4E0A"/>
    <w:rsid w:val="008F0E36"/>
    <w:rsid w:val="008F2AA5"/>
    <w:rsid w:val="008F3374"/>
    <w:rsid w:val="008F535E"/>
    <w:rsid w:val="008F5FA9"/>
    <w:rsid w:val="0090081B"/>
    <w:rsid w:val="00900C55"/>
    <w:rsid w:val="00901DB4"/>
    <w:rsid w:val="00904052"/>
    <w:rsid w:val="009059A4"/>
    <w:rsid w:val="009075B6"/>
    <w:rsid w:val="0091436A"/>
    <w:rsid w:val="00914FB5"/>
    <w:rsid w:val="00915D46"/>
    <w:rsid w:val="00922B3B"/>
    <w:rsid w:val="009272C2"/>
    <w:rsid w:val="00927AB0"/>
    <w:rsid w:val="00927B4C"/>
    <w:rsid w:val="00931410"/>
    <w:rsid w:val="00934731"/>
    <w:rsid w:val="00937A04"/>
    <w:rsid w:val="009420F8"/>
    <w:rsid w:val="00944192"/>
    <w:rsid w:val="00944237"/>
    <w:rsid w:val="0094638C"/>
    <w:rsid w:val="009475B7"/>
    <w:rsid w:val="00951181"/>
    <w:rsid w:val="00951A13"/>
    <w:rsid w:val="009613A1"/>
    <w:rsid w:val="009624C3"/>
    <w:rsid w:val="00963070"/>
    <w:rsid w:val="009642E7"/>
    <w:rsid w:val="009642EA"/>
    <w:rsid w:val="009662F1"/>
    <w:rsid w:val="0096635D"/>
    <w:rsid w:val="009677FB"/>
    <w:rsid w:val="009706C5"/>
    <w:rsid w:val="00974C43"/>
    <w:rsid w:val="00974DAC"/>
    <w:rsid w:val="00976EE7"/>
    <w:rsid w:val="0098077D"/>
    <w:rsid w:val="00982812"/>
    <w:rsid w:val="00987410"/>
    <w:rsid w:val="00990160"/>
    <w:rsid w:val="00992556"/>
    <w:rsid w:val="009966AA"/>
    <w:rsid w:val="009A0BB2"/>
    <w:rsid w:val="009A1070"/>
    <w:rsid w:val="009A552F"/>
    <w:rsid w:val="009A56F3"/>
    <w:rsid w:val="009A5E70"/>
    <w:rsid w:val="009A6002"/>
    <w:rsid w:val="009A61E2"/>
    <w:rsid w:val="009A6E23"/>
    <w:rsid w:val="009B1F19"/>
    <w:rsid w:val="009B43DF"/>
    <w:rsid w:val="009B5016"/>
    <w:rsid w:val="009C0261"/>
    <w:rsid w:val="009C24E5"/>
    <w:rsid w:val="009C421E"/>
    <w:rsid w:val="009D0F89"/>
    <w:rsid w:val="009D19E3"/>
    <w:rsid w:val="009D3E1F"/>
    <w:rsid w:val="009E593F"/>
    <w:rsid w:val="009E6360"/>
    <w:rsid w:val="009E69A7"/>
    <w:rsid w:val="009F147B"/>
    <w:rsid w:val="009F6B17"/>
    <w:rsid w:val="00A001C5"/>
    <w:rsid w:val="00A0686A"/>
    <w:rsid w:val="00A104C0"/>
    <w:rsid w:val="00A120E2"/>
    <w:rsid w:val="00A1638E"/>
    <w:rsid w:val="00A16DF4"/>
    <w:rsid w:val="00A20CAC"/>
    <w:rsid w:val="00A22089"/>
    <w:rsid w:val="00A230FD"/>
    <w:rsid w:val="00A232A5"/>
    <w:rsid w:val="00A33C5E"/>
    <w:rsid w:val="00A369D8"/>
    <w:rsid w:val="00A3713A"/>
    <w:rsid w:val="00A467D9"/>
    <w:rsid w:val="00A5170C"/>
    <w:rsid w:val="00A53D8D"/>
    <w:rsid w:val="00A54E54"/>
    <w:rsid w:val="00A558CE"/>
    <w:rsid w:val="00A55E65"/>
    <w:rsid w:val="00A57216"/>
    <w:rsid w:val="00A616CB"/>
    <w:rsid w:val="00A6262F"/>
    <w:rsid w:val="00A62CD1"/>
    <w:rsid w:val="00A64A97"/>
    <w:rsid w:val="00A6552B"/>
    <w:rsid w:val="00A71F64"/>
    <w:rsid w:val="00A841B0"/>
    <w:rsid w:val="00A8456E"/>
    <w:rsid w:val="00A84F61"/>
    <w:rsid w:val="00A8712D"/>
    <w:rsid w:val="00A90519"/>
    <w:rsid w:val="00A91D94"/>
    <w:rsid w:val="00A94192"/>
    <w:rsid w:val="00A941FB"/>
    <w:rsid w:val="00A941FE"/>
    <w:rsid w:val="00A96B45"/>
    <w:rsid w:val="00AA1072"/>
    <w:rsid w:val="00AA3340"/>
    <w:rsid w:val="00AA5394"/>
    <w:rsid w:val="00AA65A0"/>
    <w:rsid w:val="00AB1F39"/>
    <w:rsid w:val="00AB3648"/>
    <w:rsid w:val="00AB64CB"/>
    <w:rsid w:val="00AC56E0"/>
    <w:rsid w:val="00AC6039"/>
    <w:rsid w:val="00AC7572"/>
    <w:rsid w:val="00AD0533"/>
    <w:rsid w:val="00AD1F29"/>
    <w:rsid w:val="00AD7E58"/>
    <w:rsid w:val="00AE3706"/>
    <w:rsid w:val="00AE3FB5"/>
    <w:rsid w:val="00AE5CC2"/>
    <w:rsid w:val="00AF02D4"/>
    <w:rsid w:val="00AF2E9A"/>
    <w:rsid w:val="00AF3BA5"/>
    <w:rsid w:val="00AF77DD"/>
    <w:rsid w:val="00B11C18"/>
    <w:rsid w:val="00B13773"/>
    <w:rsid w:val="00B172C5"/>
    <w:rsid w:val="00B22AC5"/>
    <w:rsid w:val="00B26E08"/>
    <w:rsid w:val="00B306F1"/>
    <w:rsid w:val="00B3144C"/>
    <w:rsid w:val="00B34CC9"/>
    <w:rsid w:val="00B37399"/>
    <w:rsid w:val="00B400BA"/>
    <w:rsid w:val="00B4061E"/>
    <w:rsid w:val="00B60A2A"/>
    <w:rsid w:val="00B664F7"/>
    <w:rsid w:val="00B66F6D"/>
    <w:rsid w:val="00B75AB9"/>
    <w:rsid w:val="00B83FA2"/>
    <w:rsid w:val="00B8659A"/>
    <w:rsid w:val="00B9404C"/>
    <w:rsid w:val="00B96C6B"/>
    <w:rsid w:val="00BA0AFA"/>
    <w:rsid w:val="00BA0D37"/>
    <w:rsid w:val="00BA2784"/>
    <w:rsid w:val="00BA2A60"/>
    <w:rsid w:val="00BA4719"/>
    <w:rsid w:val="00BA4F5A"/>
    <w:rsid w:val="00BA570C"/>
    <w:rsid w:val="00BA5EAF"/>
    <w:rsid w:val="00BA5F36"/>
    <w:rsid w:val="00BB010C"/>
    <w:rsid w:val="00BB4B78"/>
    <w:rsid w:val="00BC2F58"/>
    <w:rsid w:val="00BC473A"/>
    <w:rsid w:val="00BC5FDE"/>
    <w:rsid w:val="00BD32EE"/>
    <w:rsid w:val="00BD4730"/>
    <w:rsid w:val="00BD6440"/>
    <w:rsid w:val="00BD6CEA"/>
    <w:rsid w:val="00BE2BC0"/>
    <w:rsid w:val="00BE308F"/>
    <w:rsid w:val="00BE374A"/>
    <w:rsid w:val="00BE3C9E"/>
    <w:rsid w:val="00BE4C82"/>
    <w:rsid w:val="00BE7188"/>
    <w:rsid w:val="00BF149B"/>
    <w:rsid w:val="00BF259D"/>
    <w:rsid w:val="00BF2BDE"/>
    <w:rsid w:val="00BF5718"/>
    <w:rsid w:val="00BF6B9C"/>
    <w:rsid w:val="00C01CF5"/>
    <w:rsid w:val="00C06D71"/>
    <w:rsid w:val="00C30595"/>
    <w:rsid w:val="00C33185"/>
    <w:rsid w:val="00C34F38"/>
    <w:rsid w:val="00C3607F"/>
    <w:rsid w:val="00C363D3"/>
    <w:rsid w:val="00C40B28"/>
    <w:rsid w:val="00C42490"/>
    <w:rsid w:val="00C451BA"/>
    <w:rsid w:val="00C45B70"/>
    <w:rsid w:val="00C463E4"/>
    <w:rsid w:val="00C52E06"/>
    <w:rsid w:val="00C5369F"/>
    <w:rsid w:val="00C53930"/>
    <w:rsid w:val="00C579BE"/>
    <w:rsid w:val="00C60998"/>
    <w:rsid w:val="00C62FD6"/>
    <w:rsid w:val="00C64496"/>
    <w:rsid w:val="00C645B6"/>
    <w:rsid w:val="00C645D4"/>
    <w:rsid w:val="00C65871"/>
    <w:rsid w:val="00C663F6"/>
    <w:rsid w:val="00C66A1D"/>
    <w:rsid w:val="00C67000"/>
    <w:rsid w:val="00C720A0"/>
    <w:rsid w:val="00C7398E"/>
    <w:rsid w:val="00C74FAE"/>
    <w:rsid w:val="00C75D02"/>
    <w:rsid w:val="00C80C40"/>
    <w:rsid w:val="00C8275C"/>
    <w:rsid w:val="00C873C4"/>
    <w:rsid w:val="00C909F5"/>
    <w:rsid w:val="00C9291C"/>
    <w:rsid w:val="00C96C4E"/>
    <w:rsid w:val="00C97701"/>
    <w:rsid w:val="00CA1B77"/>
    <w:rsid w:val="00CA2D6C"/>
    <w:rsid w:val="00CA4665"/>
    <w:rsid w:val="00CA6C20"/>
    <w:rsid w:val="00CB1816"/>
    <w:rsid w:val="00CB2AE9"/>
    <w:rsid w:val="00CB2DE5"/>
    <w:rsid w:val="00CB2FF0"/>
    <w:rsid w:val="00CC247C"/>
    <w:rsid w:val="00CC40A5"/>
    <w:rsid w:val="00CC40C6"/>
    <w:rsid w:val="00CC48AE"/>
    <w:rsid w:val="00CC6A54"/>
    <w:rsid w:val="00CD5194"/>
    <w:rsid w:val="00CD5398"/>
    <w:rsid w:val="00CD6D65"/>
    <w:rsid w:val="00CE5B80"/>
    <w:rsid w:val="00CE5B8B"/>
    <w:rsid w:val="00CE6301"/>
    <w:rsid w:val="00CF0E4E"/>
    <w:rsid w:val="00CF13AA"/>
    <w:rsid w:val="00CF2108"/>
    <w:rsid w:val="00CF329E"/>
    <w:rsid w:val="00CF416A"/>
    <w:rsid w:val="00D018FB"/>
    <w:rsid w:val="00D039D3"/>
    <w:rsid w:val="00D06DD7"/>
    <w:rsid w:val="00D071F8"/>
    <w:rsid w:val="00D12012"/>
    <w:rsid w:val="00D15645"/>
    <w:rsid w:val="00D15770"/>
    <w:rsid w:val="00D20911"/>
    <w:rsid w:val="00D2122C"/>
    <w:rsid w:val="00D30E7C"/>
    <w:rsid w:val="00D30EA4"/>
    <w:rsid w:val="00D316C3"/>
    <w:rsid w:val="00D31FF5"/>
    <w:rsid w:val="00D33C38"/>
    <w:rsid w:val="00D340E9"/>
    <w:rsid w:val="00D44982"/>
    <w:rsid w:val="00D471E7"/>
    <w:rsid w:val="00D47A82"/>
    <w:rsid w:val="00D52ED2"/>
    <w:rsid w:val="00D60120"/>
    <w:rsid w:val="00D616A0"/>
    <w:rsid w:val="00D62BB1"/>
    <w:rsid w:val="00D6368A"/>
    <w:rsid w:val="00D64E54"/>
    <w:rsid w:val="00D6703C"/>
    <w:rsid w:val="00D67C62"/>
    <w:rsid w:val="00D82BE5"/>
    <w:rsid w:val="00D85A6D"/>
    <w:rsid w:val="00D866F3"/>
    <w:rsid w:val="00D86902"/>
    <w:rsid w:val="00D91005"/>
    <w:rsid w:val="00D91331"/>
    <w:rsid w:val="00D91357"/>
    <w:rsid w:val="00D945B3"/>
    <w:rsid w:val="00DA131F"/>
    <w:rsid w:val="00DA2507"/>
    <w:rsid w:val="00DA4562"/>
    <w:rsid w:val="00DB1541"/>
    <w:rsid w:val="00DB22DD"/>
    <w:rsid w:val="00DB2ED9"/>
    <w:rsid w:val="00DB6FB4"/>
    <w:rsid w:val="00DC2C8C"/>
    <w:rsid w:val="00DC41A3"/>
    <w:rsid w:val="00DC5364"/>
    <w:rsid w:val="00DD0417"/>
    <w:rsid w:val="00DD1D9E"/>
    <w:rsid w:val="00DD2583"/>
    <w:rsid w:val="00DD2D01"/>
    <w:rsid w:val="00DE53D7"/>
    <w:rsid w:val="00DE78DC"/>
    <w:rsid w:val="00DE7939"/>
    <w:rsid w:val="00DF24FD"/>
    <w:rsid w:val="00E00982"/>
    <w:rsid w:val="00E03BFC"/>
    <w:rsid w:val="00E046E8"/>
    <w:rsid w:val="00E07857"/>
    <w:rsid w:val="00E12CD7"/>
    <w:rsid w:val="00E12F84"/>
    <w:rsid w:val="00E17717"/>
    <w:rsid w:val="00E17C15"/>
    <w:rsid w:val="00E20128"/>
    <w:rsid w:val="00E21310"/>
    <w:rsid w:val="00E2417A"/>
    <w:rsid w:val="00E26340"/>
    <w:rsid w:val="00E269A1"/>
    <w:rsid w:val="00E306BB"/>
    <w:rsid w:val="00E31A34"/>
    <w:rsid w:val="00E32114"/>
    <w:rsid w:val="00E41AF8"/>
    <w:rsid w:val="00E50F83"/>
    <w:rsid w:val="00E53CE2"/>
    <w:rsid w:val="00E544C2"/>
    <w:rsid w:val="00E54C98"/>
    <w:rsid w:val="00E54D33"/>
    <w:rsid w:val="00E5524F"/>
    <w:rsid w:val="00E55D73"/>
    <w:rsid w:val="00E67D0D"/>
    <w:rsid w:val="00E70B3E"/>
    <w:rsid w:val="00E7176F"/>
    <w:rsid w:val="00E73005"/>
    <w:rsid w:val="00E73CF5"/>
    <w:rsid w:val="00E77552"/>
    <w:rsid w:val="00E81820"/>
    <w:rsid w:val="00E82629"/>
    <w:rsid w:val="00E84F8F"/>
    <w:rsid w:val="00E87FAA"/>
    <w:rsid w:val="00E90FC6"/>
    <w:rsid w:val="00E93B7C"/>
    <w:rsid w:val="00E9763A"/>
    <w:rsid w:val="00E97853"/>
    <w:rsid w:val="00EA0AFD"/>
    <w:rsid w:val="00EA1ACD"/>
    <w:rsid w:val="00EA698E"/>
    <w:rsid w:val="00EA71AC"/>
    <w:rsid w:val="00EA7718"/>
    <w:rsid w:val="00EB0773"/>
    <w:rsid w:val="00EB359F"/>
    <w:rsid w:val="00EB71FC"/>
    <w:rsid w:val="00EC542E"/>
    <w:rsid w:val="00EC7B77"/>
    <w:rsid w:val="00EE1A3A"/>
    <w:rsid w:val="00EE4E7A"/>
    <w:rsid w:val="00EE528F"/>
    <w:rsid w:val="00EE78BB"/>
    <w:rsid w:val="00EF1699"/>
    <w:rsid w:val="00EF4462"/>
    <w:rsid w:val="00EF6D25"/>
    <w:rsid w:val="00EF6F00"/>
    <w:rsid w:val="00F05BDA"/>
    <w:rsid w:val="00F05CE8"/>
    <w:rsid w:val="00F11FD2"/>
    <w:rsid w:val="00F14F31"/>
    <w:rsid w:val="00F15A8F"/>
    <w:rsid w:val="00F1732D"/>
    <w:rsid w:val="00F17982"/>
    <w:rsid w:val="00F23D47"/>
    <w:rsid w:val="00F248CD"/>
    <w:rsid w:val="00F26543"/>
    <w:rsid w:val="00F3031D"/>
    <w:rsid w:val="00F304C5"/>
    <w:rsid w:val="00F32971"/>
    <w:rsid w:val="00F36ABF"/>
    <w:rsid w:val="00F44333"/>
    <w:rsid w:val="00F446E3"/>
    <w:rsid w:val="00F449FA"/>
    <w:rsid w:val="00F4601D"/>
    <w:rsid w:val="00F52558"/>
    <w:rsid w:val="00F53E2F"/>
    <w:rsid w:val="00F54023"/>
    <w:rsid w:val="00F56029"/>
    <w:rsid w:val="00F5623D"/>
    <w:rsid w:val="00F60A85"/>
    <w:rsid w:val="00F60F0E"/>
    <w:rsid w:val="00F641A4"/>
    <w:rsid w:val="00F650B1"/>
    <w:rsid w:val="00F656F3"/>
    <w:rsid w:val="00F66B77"/>
    <w:rsid w:val="00F71723"/>
    <w:rsid w:val="00F7194B"/>
    <w:rsid w:val="00F82F1E"/>
    <w:rsid w:val="00F863D4"/>
    <w:rsid w:val="00F915E5"/>
    <w:rsid w:val="00F94291"/>
    <w:rsid w:val="00F94DED"/>
    <w:rsid w:val="00F96870"/>
    <w:rsid w:val="00F96D3F"/>
    <w:rsid w:val="00FA0AEE"/>
    <w:rsid w:val="00FA1DB0"/>
    <w:rsid w:val="00FB0FEB"/>
    <w:rsid w:val="00FB5947"/>
    <w:rsid w:val="00FB5BAD"/>
    <w:rsid w:val="00FB7301"/>
    <w:rsid w:val="00FB738B"/>
    <w:rsid w:val="00FC241A"/>
    <w:rsid w:val="00FC4825"/>
    <w:rsid w:val="00FC4832"/>
    <w:rsid w:val="00FC4C1C"/>
    <w:rsid w:val="00FD1C94"/>
    <w:rsid w:val="00FD629F"/>
    <w:rsid w:val="00FE03A6"/>
    <w:rsid w:val="00FE087C"/>
    <w:rsid w:val="00FE165C"/>
    <w:rsid w:val="00FE674F"/>
    <w:rsid w:val="00FF057F"/>
    <w:rsid w:val="00FF09CE"/>
    <w:rsid w:val="00FF257B"/>
    <w:rsid w:val="00FF3AB3"/>
    <w:rsid w:val="00FF583F"/>
    <w:rsid w:val="00FF6698"/>
    <w:rsid w:val="00FF6AD2"/>
    <w:rsid w:val="00FF7FB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22C674"/>
  <w15:docId w15:val="{2839B6FB-E855-4AF9-B30A-BC5DC4FFA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61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7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66A7"/>
    <w:pPr>
      <w:ind w:left="720"/>
      <w:contextualSpacing/>
    </w:pPr>
  </w:style>
  <w:style w:type="paragraph" w:styleId="BalloonText">
    <w:name w:val="Balloon Text"/>
    <w:basedOn w:val="Normal"/>
    <w:link w:val="BalloonTextChar"/>
    <w:uiPriority w:val="99"/>
    <w:semiHidden/>
    <w:unhideWhenUsed/>
    <w:rsid w:val="00E93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B7C"/>
    <w:rPr>
      <w:rFonts w:ascii="Tahoma" w:hAnsi="Tahoma" w:cs="Tahoma"/>
      <w:sz w:val="16"/>
      <w:szCs w:val="16"/>
    </w:rPr>
  </w:style>
  <w:style w:type="paragraph" w:styleId="Header">
    <w:name w:val="header"/>
    <w:basedOn w:val="Normal"/>
    <w:link w:val="HeaderChar"/>
    <w:uiPriority w:val="99"/>
    <w:unhideWhenUsed/>
    <w:rsid w:val="002357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7E2"/>
  </w:style>
  <w:style w:type="paragraph" w:styleId="Footer">
    <w:name w:val="footer"/>
    <w:basedOn w:val="Normal"/>
    <w:link w:val="FooterChar"/>
    <w:uiPriority w:val="99"/>
    <w:unhideWhenUsed/>
    <w:rsid w:val="002357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7E2"/>
  </w:style>
  <w:style w:type="paragraph" w:styleId="FootnoteText">
    <w:name w:val="footnote text"/>
    <w:basedOn w:val="Normal"/>
    <w:link w:val="FootnoteTextChar"/>
    <w:uiPriority w:val="99"/>
    <w:unhideWhenUsed/>
    <w:rsid w:val="00710F26"/>
    <w:pPr>
      <w:spacing w:after="0" w:line="240" w:lineRule="auto"/>
    </w:pPr>
    <w:rPr>
      <w:sz w:val="20"/>
      <w:szCs w:val="20"/>
    </w:rPr>
  </w:style>
  <w:style w:type="character" w:customStyle="1" w:styleId="FootnoteTextChar">
    <w:name w:val="Footnote Text Char"/>
    <w:basedOn w:val="DefaultParagraphFont"/>
    <w:link w:val="FootnoteText"/>
    <w:uiPriority w:val="99"/>
    <w:rsid w:val="00710F26"/>
    <w:rPr>
      <w:sz w:val="20"/>
      <w:szCs w:val="20"/>
    </w:rPr>
  </w:style>
  <w:style w:type="character" w:styleId="FootnoteReference">
    <w:name w:val="footnote reference"/>
    <w:basedOn w:val="DefaultParagraphFont"/>
    <w:uiPriority w:val="99"/>
    <w:unhideWhenUsed/>
    <w:rsid w:val="00710F26"/>
    <w:rPr>
      <w:vertAlign w:val="superscript"/>
    </w:rPr>
  </w:style>
  <w:style w:type="character" w:styleId="Hyperlink">
    <w:name w:val="Hyperlink"/>
    <w:basedOn w:val="DefaultParagraphFont"/>
    <w:uiPriority w:val="99"/>
    <w:unhideWhenUsed/>
    <w:rsid w:val="00230F59"/>
    <w:rPr>
      <w:color w:val="0000FF" w:themeColor="hyperlink"/>
      <w:u w:val="single"/>
    </w:rPr>
  </w:style>
  <w:style w:type="character" w:styleId="Mention">
    <w:name w:val="Mention"/>
    <w:basedOn w:val="DefaultParagraphFont"/>
    <w:uiPriority w:val="99"/>
    <w:semiHidden/>
    <w:unhideWhenUsed/>
    <w:rsid w:val="00230F59"/>
    <w:rPr>
      <w:color w:val="2B579A"/>
      <w:shd w:val="clear" w:color="auto" w:fill="E6E6E6"/>
    </w:rPr>
  </w:style>
  <w:style w:type="character" w:customStyle="1" w:styleId="UnresolvedMention1">
    <w:name w:val="Unresolved Mention1"/>
    <w:basedOn w:val="DefaultParagraphFont"/>
    <w:uiPriority w:val="99"/>
    <w:semiHidden/>
    <w:unhideWhenUsed/>
    <w:rsid w:val="00E544C2"/>
    <w:rPr>
      <w:color w:val="808080"/>
      <w:shd w:val="clear" w:color="auto" w:fill="E6E6E6"/>
    </w:rPr>
  </w:style>
  <w:style w:type="character" w:styleId="CommentReference">
    <w:name w:val="annotation reference"/>
    <w:basedOn w:val="DefaultParagraphFont"/>
    <w:uiPriority w:val="99"/>
    <w:semiHidden/>
    <w:unhideWhenUsed/>
    <w:rsid w:val="009F147B"/>
    <w:rPr>
      <w:sz w:val="16"/>
      <w:szCs w:val="16"/>
    </w:rPr>
  </w:style>
  <w:style w:type="paragraph" w:styleId="CommentText">
    <w:name w:val="annotation text"/>
    <w:basedOn w:val="Normal"/>
    <w:link w:val="CommentTextChar"/>
    <w:uiPriority w:val="99"/>
    <w:semiHidden/>
    <w:unhideWhenUsed/>
    <w:rsid w:val="009F147B"/>
    <w:pPr>
      <w:spacing w:line="240" w:lineRule="auto"/>
    </w:pPr>
    <w:rPr>
      <w:sz w:val="20"/>
      <w:szCs w:val="20"/>
    </w:rPr>
  </w:style>
  <w:style w:type="character" w:customStyle="1" w:styleId="CommentTextChar">
    <w:name w:val="Comment Text Char"/>
    <w:basedOn w:val="DefaultParagraphFont"/>
    <w:link w:val="CommentText"/>
    <w:uiPriority w:val="99"/>
    <w:semiHidden/>
    <w:rsid w:val="009F147B"/>
    <w:rPr>
      <w:sz w:val="20"/>
      <w:szCs w:val="20"/>
    </w:rPr>
  </w:style>
  <w:style w:type="paragraph" w:styleId="CommentSubject">
    <w:name w:val="annotation subject"/>
    <w:basedOn w:val="CommentText"/>
    <w:next w:val="CommentText"/>
    <w:link w:val="CommentSubjectChar"/>
    <w:uiPriority w:val="99"/>
    <w:semiHidden/>
    <w:unhideWhenUsed/>
    <w:rsid w:val="009F147B"/>
    <w:rPr>
      <w:b/>
      <w:bCs/>
    </w:rPr>
  </w:style>
  <w:style w:type="character" w:customStyle="1" w:styleId="CommentSubjectChar">
    <w:name w:val="Comment Subject Char"/>
    <w:basedOn w:val="CommentTextChar"/>
    <w:link w:val="CommentSubject"/>
    <w:uiPriority w:val="99"/>
    <w:semiHidden/>
    <w:rsid w:val="009F147B"/>
    <w:rPr>
      <w:b/>
      <w:bCs/>
      <w:sz w:val="20"/>
      <w:szCs w:val="20"/>
    </w:rPr>
  </w:style>
  <w:style w:type="numbering" w:customStyle="1" w:styleId="NoList1">
    <w:name w:val="No List1"/>
    <w:next w:val="NoList"/>
    <w:uiPriority w:val="99"/>
    <w:semiHidden/>
    <w:unhideWhenUsed/>
    <w:rsid w:val="00E73CF5"/>
  </w:style>
  <w:style w:type="table" w:customStyle="1" w:styleId="TableGrid1">
    <w:name w:val="Table Grid1"/>
    <w:basedOn w:val="TableNormal"/>
    <w:next w:val="TableGrid"/>
    <w:uiPriority w:val="59"/>
    <w:rsid w:val="00E73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E73CF5"/>
    <w:rPr>
      <w:color w:val="2B579A"/>
      <w:shd w:val="clear" w:color="auto" w:fill="E6E6E6"/>
    </w:rPr>
  </w:style>
  <w:style w:type="character" w:styleId="UnresolvedMention">
    <w:name w:val="Unresolved Mention"/>
    <w:basedOn w:val="DefaultParagraphFont"/>
    <w:uiPriority w:val="99"/>
    <w:rsid w:val="00E73C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0404">
      <w:bodyDiv w:val="1"/>
      <w:marLeft w:val="0"/>
      <w:marRight w:val="0"/>
      <w:marTop w:val="0"/>
      <w:marBottom w:val="0"/>
      <w:divBdr>
        <w:top w:val="none" w:sz="0" w:space="0" w:color="auto"/>
        <w:left w:val="none" w:sz="0" w:space="0" w:color="auto"/>
        <w:bottom w:val="none" w:sz="0" w:space="0" w:color="auto"/>
        <w:right w:val="none" w:sz="0" w:space="0" w:color="auto"/>
      </w:divBdr>
    </w:div>
    <w:div w:id="495927321">
      <w:bodyDiv w:val="1"/>
      <w:marLeft w:val="0"/>
      <w:marRight w:val="0"/>
      <w:marTop w:val="0"/>
      <w:marBottom w:val="0"/>
      <w:divBdr>
        <w:top w:val="none" w:sz="0" w:space="0" w:color="auto"/>
        <w:left w:val="none" w:sz="0" w:space="0" w:color="auto"/>
        <w:bottom w:val="none" w:sz="0" w:space="0" w:color="auto"/>
        <w:right w:val="none" w:sz="0" w:space="0" w:color="auto"/>
      </w:divBdr>
    </w:div>
    <w:div w:id="545414996">
      <w:bodyDiv w:val="1"/>
      <w:marLeft w:val="0"/>
      <w:marRight w:val="0"/>
      <w:marTop w:val="0"/>
      <w:marBottom w:val="0"/>
      <w:divBdr>
        <w:top w:val="none" w:sz="0" w:space="0" w:color="auto"/>
        <w:left w:val="none" w:sz="0" w:space="0" w:color="auto"/>
        <w:bottom w:val="none" w:sz="0" w:space="0" w:color="auto"/>
        <w:right w:val="none" w:sz="0" w:space="0" w:color="auto"/>
      </w:divBdr>
    </w:div>
    <w:div w:id="629476618">
      <w:bodyDiv w:val="1"/>
      <w:marLeft w:val="0"/>
      <w:marRight w:val="0"/>
      <w:marTop w:val="0"/>
      <w:marBottom w:val="0"/>
      <w:divBdr>
        <w:top w:val="none" w:sz="0" w:space="0" w:color="auto"/>
        <w:left w:val="none" w:sz="0" w:space="0" w:color="auto"/>
        <w:bottom w:val="none" w:sz="0" w:space="0" w:color="auto"/>
        <w:right w:val="none" w:sz="0" w:space="0" w:color="auto"/>
      </w:divBdr>
    </w:div>
    <w:div w:id="760487183">
      <w:bodyDiv w:val="1"/>
      <w:marLeft w:val="0"/>
      <w:marRight w:val="0"/>
      <w:marTop w:val="0"/>
      <w:marBottom w:val="0"/>
      <w:divBdr>
        <w:top w:val="none" w:sz="0" w:space="0" w:color="auto"/>
        <w:left w:val="none" w:sz="0" w:space="0" w:color="auto"/>
        <w:bottom w:val="none" w:sz="0" w:space="0" w:color="auto"/>
        <w:right w:val="none" w:sz="0" w:space="0" w:color="auto"/>
      </w:divBdr>
    </w:div>
    <w:div w:id="192900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sz="1200" b="1"/>
              <a:t>Figure 1:</a:t>
            </a:r>
            <a:r>
              <a:rPr lang="en-NZ" sz="1200" b="1" baseline="0"/>
              <a:t> </a:t>
            </a:r>
            <a:r>
              <a:rPr lang="en-NZ" sz="1200" b="1"/>
              <a:t>Pattern of change in OBI scores </a:t>
            </a:r>
          </a:p>
          <a:p>
            <a:pPr>
              <a:defRPr/>
            </a:pPr>
            <a:r>
              <a:rPr lang="en-NZ" sz="1200" b="1"/>
              <a:t>of GIFT</a:t>
            </a:r>
            <a:r>
              <a:rPr lang="en-NZ" sz="1200" b="1" baseline="0"/>
              <a:t> Stewards, Partners 2015-2017</a:t>
            </a:r>
            <a:endParaRPr lang="en-NZ" sz="1200" b="1"/>
          </a:p>
        </c:rich>
      </c:tx>
      <c:layout>
        <c:manualLayout>
          <c:xMode val="edge"/>
          <c:yMode val="edge"/>
          <c:x val="0.18683623309972852"/>
          <c:y val="4.5453071226508584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'OBI changes'!$I$1</c:f>
              <c:strCache>
                <c:ptCount val="1"/>
                <c:pt idx="0">
                  <c:v>Change 2015-2017</c:v>
                </c:pt>
              </c:strCache>
            </c:strRef>
          </c:tx>
          <c:spPr>
            <a:solidFill>
              <a:schemeClr val="accent1"/>
            </a:solidFill>
            <a:ln>
              <a:noFill/>
            </a:ln>
            <a:effectLst/>
          </c:spPr>
          <c:invertIfNegative val="0"/>
          <c:val>
            <c:numRef>
              <c:f>'OBI changes'!$I$2:$I$21</c:f>
              <c:numCache>
                <c:formatCode>General</c:formatCode>
                <c:ptCount val="20"/>
                <c:pt idx="0">
                  <c:v>-9</c:v>
                </c:pt>
                <c:pt idx="1">
                  <c:v>-6</c:v>
                </c:pt>
                <c:pt idx="2">
                  <c:v>0</c:v>
                </c:pt>
                <c:pt idx="3">
                  <c:v>-1</c:v>
                </c:pt>
                <c:pt idx="4">
                  <c:v>-7</c:v>
                </c:pt>
                <c:pt idx="5">
                  <c:v>4</c:v>
                </c:pt>
                <c:pt idx="6">
                  <c:v>15</c:v>
                </c:pt>
                <c:pt idx="7">
                  <c:v>25</c:v>
                </c:pt>
                <c:pt idx="8">
                  <c:v>-8</c:v>
                </c:pt>
                <c:pt idx="9">
                  <c:v>15</c:v>
                </c:pt>
                <c:pt idx="10">
                  <c:v>5</c:v>
                </c:pt>
                <c:pt idx="11">
                  <c:v>-2</c:v>
                </c:pt>
                <c:pt idx="12">
                  <c:v>13</c:v>
                </c:pt>
                <c:pt idx="13">
                  <c:v>-7</c:v>
                </c:pt>
                <c:pt idx="15">
                  <c:v>3</c:v>
                </c:pt>
                <c:pt idx="16">
                  <c:v>3</c:v>
                </c:pt>
                <c:pt idx="17">
                  <c:v>-3</c:v>
                </c:pt>
                <c:pt idx="18">
                  <c:v>-4</c:v>
                </c:pt>
                <c:pt idx="19">
                  <c:v>8</c:v>
                </c:pt>
              </c:numCache>
            </c:numRef>
          </c:val>
          <c:extLst>
            <c:ext xmlns:c16="http://schemas.microsoft.com/office/drawing/2014/chart" uri="{C3380CC4-5D6E-409C-BE32-E72D297353CC}">
              <c16:uniqueId val="{00000000-7109-4869-9D21-C45151B811EC}"/>
            </c:ext>
          </c:extLst>
        </c:ser>
        <c:ser>
          <c:idx val="1"/>
          <c:order val="1"/>
          <c:tx>
            <c:strRef>
              <c:f>'OBI changes'!$J$1</c:f>
              <c:strCache>
                <c:ptCount val="1"/>
              </c:strCache>
            </c:strRef>
          </c:tx>
          <c:spPr>
            <a:solidFill>
              <a:schemeClr val="accent2"/>
            </a:solidFill>
            <a:ln>
              <a:noFill/>
            </a:ln>
            <a:effectLst/>
          </c:spPr>
          <c:invertIfNegative val="0"/>
          <c:val>
            <c:numRef>
              <c:f>'OBI changes'!$J$2:$J$21</c:f>
              <c:numCache>
                <c:formatCode>General</c:formatCode>
                <c:ptCount val="2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numCache>
            </c:numRef>
          </c:val>
          <c:extLst>
            <c:ext xmlns:c16="http://schemas.microsoft.com/office/drawing/2014/chart" uri="{C3380CC4-5D6E-409C-BE32-E72D297353CC}">
              <c16:uniqueId val="{00000001-7109-4869-9D21-C45151B811EC}"/>
            </c:ext>
          </c:extLst>
        </c:ser>
        <c:dLbls>
          <c:showLegendKey val="0"/>
          <c:showVal val="0"/>
          <c:showCatName val="0"/>
          <c:showSerName val="0"/>
          <c:showPercent val="0"/>
          <c:showBubbleSize val="0"/>
        </c:dLbls>
        <c:gapWidth val="150"/>
        <c:overlap val="100"/>
        <c:axId val="661551624"/>
        <c:axId val="624396600"/>
      </c:barChart>
      <c:catAx>
        <c:axId val="661551624"/>
        <c:scaling>
          <c:orientation val="minMax"/>
        </c:scaling>
        <c:delete val="1"/>
        <c:axPos val="l"/>
        <c:numFmt formatCode="General" sourceLinked="1"/>
        <c:majorTickMark val="out"/>
        <c:minorTickMark val="none"/>
        <c:tickLblPos val="nextTo"/>
        <c:crossAx val="624396600"/>
        <c:crosses val="autoZero"/>
        <c:auto val="1"/>
        <c:lblAlgn val="ctr"/>
        <c:lblOffset val="100"/>
        <c:noMultiLvlLbl val="0"/>
      </c:catAx>
      <c:valAx>
        <c:axId val="6243966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1551624"/>
        <c:crosses val="autoZero"/>
        <c:crossBetween val="between"/>
      </c:valAx>
      <c:spPr>
        <a:noFill/>
        <a:ln>
          <a:noFill/>
        </a:ln>
        <a:effectLst/>
      </c:spPr>
    </c:plotArea>
    <c:legend>
      <c:legendPos val="b"/>
      <c:legendEntry>
        <c:idx val="1"/>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b="1"/>
              <a:t>Figure 2: 2017 OBI Score </a:t>
            </a:r>
            <a:r>
              <a:rPr lang="en-NZ" b="1" baseline="0"/>
              <a:t>Gaps </a:t>
            </a:r>
          </a:p>
          <a:p>
            <a:pPr>
              <a:defRPr/>
            </a:pPr>
            <a:r>
              <a:rPr lang="en-NZ" b="1" baseline="0"/>
              <a:t>to Global Peer Group Leader</a:t>
            </a:r>
            <a:endParaRPr lang="en-NZ" b="1"/>
          </a:p>
        </c:rich>
      </c:tx>
      <c:layout>
        <c:manualLayout>
          <c:xMode val="edge"/>
          <c:yMode val="edge"/>
          <c:x val="0.32027777777777772"/>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'peer gaps'!$A$3:$A$20</c:f>
              <c:strCache>
                <c:ptCount val="18"/>
                <c:pt idx="0">
                  <c:v>South Africa</c:v>
                </c:pt>
                <c:pt idx="1">
                  <c:v>Mexico</c:v>
                </c:pt>
                <c:pt idx="2">
                  <c:v>Brazil </c:v>
                </c:pt>
                <c:pt idx="3">
                  <c:v>U.S.A.</c:v>
                </c:pt>
                <c:pt idx="4">
                  <c:v>Philippines</c:v>
                </c:pt>
                <c:pt idx="5">
                  <c:v>Indonesia</c:v>
                </c:pt>
                <c:pt idx="6">
                  <c:v>Dom. Republic</c:v>
                </c:pt>
                <c:pt idx="7">
                  <c:v>Benin</c:v>
                </c:pt>
                <c:pt idx="8">
                  <c:v>Guatemala</c:v>
                </c:pt>
                <c:pt idx="9">
                  <c:v>Ukraine</c:v>
                </c:pt>
                <c:pt idx="10">
                  <c:v>Croatia</c:v>
                </c:pt>
                <c:pt idx="11">
                  <c:v>Chile</c:v>
                </c:pt>
                <c:pt idx="12">
                  <c:v>El Salvador</c:v>
                </c:pt>
                <c:pt idx="13">
                  <c:v>Argentina</c:v>
                </c:pt>
                <c:pt idx="14">
                  <c:v>Colombia</c:v>
                </c:pt>
                <c:pt idx="15">
                  <c:v>Tunisia</c:v>
                </c:pt>
                <c:pt idx="16">
                  <c:v>Paraguay</c:v>
                </c:pt>
                <c:pt idx="17">
                  <c:v>Nigeria</c:v>
                </c:pt>
              </c:strCache>
            </c:strRef>
          </c:cat>
          <c:val>
            <c:numRef>
              <c:f>'peer gaps'!$B$3:$B$20</c:f>
              <c:numCache>
                <c:formatCode>General</c:formatCode>
                <c:ptCount val="18"/>
                <c:pt idx="0">
                  <c:v>0</c:v>
                </c:pt>
                <c:pt idx="1">
                  <c:v>10</c:v>
                </c:pt>
                <c:pt idx="2">
                  <c:v>12</c:v>
                </c:pt>
                <c:pt idx="3">
                  <c:v>12</c:v>
                </c:pt>
                <c:pt idx="4">
                  <c:v>15</c:v>
                </c:pt>
                <c:pt idx="5">
                  <c:v>18</c:v>
                </c:pt>
                <c:pt idx="6">
                  <c:v>21</c:v>
                </c:pt>
                <c:pt idx="7">
                  <c:v>22</c:v>
                </c:pt>
                <c:pt idx="8">
                  <c:v>28</c:v>
                </c:pt>
                <c:pt idx="9">
                  <c:v>28</c:v>
                </c:pt>
                <c:pt idx="10">
                  <c:v>32</c:v>
                </c:pt>
                <c:pt idx="11">
                  <c:v>33</c:v>
                </c:pt>
                <c:pt idx="12">
                  <c:v>37</c:v>
                </c:pt>
                <c:pt idx="13">
                  <c:v>39</c:v>
                </c:pt>
                <c:pt idx="14">
                  <c:v>39</c:v>
                </c:pt>
                <c:pt idx="15">
                  <c:v>43</c:v>
                </c:pt>
                <c:pt idx="16">
                  <c:v>46</c:v>
                </c:pt>
                <c:pt idx="17">
                  <c:v>65</c:v>
                </c:pt>
              </c:numCache>
            </c:numRef>
          </c:val>
          <c:extLst>
            <c:ext xmlns:c16="http://schemas.microsoft.com/office/drawing/2014/chart" uri="{C3380CC4-5D6E-409C-BE32-E72D297353CC}">
              <c16:uniqueId val="{00000000-C644-4C12-A220-4371EAE6CB5A}"/>
            </c:ext>
          </c:extLst>
        </c:ser>
        <c:dLbls>
          <c:showLegendKey val="0"/>
          <c:showVal val="0"/>
          <c:showCatName val="0"/>
          <c:showSerName val="0"/>
          <c:showPercent val="0"/>
          <c:showBubbleSize val="0"/>
        </c:dLbls>
        <c:gapWidth val="219"/>
        <c:overlap val="-27"/>
        <c:axId val="455843896"/>
        <c:axId val="455846848"/>
      </c:barChart>
      <c:catAx>
        <c:axId val="455843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5846848"/>
        <c:crosses val="autoZero"/>
        <c:auto val="1"/>
        <c:lblAlgn val="ctr"/>
        <c:lblOffset val="100"/>
        <c:noMultiLvlLbl val="0"/>
      </c:catAx>
      <c:valAx>
        <c:axId val="45584684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t>OBI gap</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58438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sz="1200" b="1"/>
              <a:t>Figure 3: 2017 OBS Participation Scores</a:t>
            </a:r>
          </a:p>
        </c:rich>
      </c:tx>
      <c:layout>
        <c:manualLayout>
          <c:xMode val="edge"/>
          <c:yMode val="edge"/>
          <c:x val="0.16211111111111112"/>
          <c:y val="4.118993135011441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Participation!$B$1:$B$2</c:f>
              <c:strCache>
                <c:ptCount val="2"/>
                <c:pt idx="0">
                  <c:v>2017 Participation Score</c:v>
                </c:pt>
                <c:pt idx="1">
                  <c:v>Total</c:v>
                </c:pt>
              </c:strCache>
            </c:strRef>
          </c:tx>
          <c:spPr>
            <a:solidFill>
              <a:schemeClr val="accent1"/>
            </a:solidFill>
            <a:ln>
              <a:noFill/>
            </a:ln>
            <a:effectLst/>
          </c:spPr>
          <c:invertIfNegative val="0"/>
          <c:cat>
            <c:strRef>
              <c:f>Participation!$A$3:$A$23</c:f>
              <c:strCache>
                <c:ptCount val="21"/>
                <c:pt idx="1">
                  <c:v>Argentina</c:v>
                </c:pt>
                <c:pt idx="2">
                  <c:v>Benin</c:v>
                </c:pt>
                <c:pt idx="3">
                  <c:v>Brazil </c:v>
                </c:pt>
                <c:pt idx="4">
                  <c:v>Chile</c:v>
                </c:pt>
                <c:pt idx="5">
                  <c:v>Colombia</c:v>
                </c:pt>
                <c:pt idx="6">
                  <c:v>Croatia</c:v>
                </c:pt>
                <c:pt idx="7">
                  <c:v>Dom. Republic</c:v>
                </c:pt>
                <c:pt idx="8">
                  <c:v>Egypt</c:v>
                </c:pt>
                <c:pt idx="9">
                  <c:v>El Salvador</c:v>
                </c:pt>
                <c:pt idx="10">
                  <c:v>Guatemala</c:v>
                </c:pt>
                <c:pt idx="11">
                  <c:v>Indonesia</c:v>
                </c:pt>
                <c:pt idx="12">
                  <c:v>Liberia</c:v>
                </c:pt>
                <c:pt idx="13">
                  <c:v>Mexico</c:v>
                </c:pt>
                <c:pt idx="14">
                  <c:v>Nigeria</c:v>
                </c:pt>
                <c:pt idx="15">
                  <c:v>Paraguay</c:v>
                </c:pt>
                <c:pt idx="16">
                  <c:v>Philippines</c:v>
                </c:pt>
                <c:pt idx="17">
                  <c:v>South Africa</c:v>
                </c:pt>
                <c:pt idx="18">
                  <c:v>Tunisia</c:v>
                </c:pt>
                <c:pt idx="19">
                  <c:v>U.S.A.</c:v>
                </c:pt>
                <c:pt idx="20">
                  <c:v>Ukraine</c:v>
                </c:pt>
              </c:strCache>
            </c:strRef>
          </c:cat>
          <c:val>
            <c:numRef>
              <c:f>Participation!$B$3:$B$23</c:f>
              <c:numCache>
                <c:formatCode>General</c:formatCode>
                <c:ptCount val="21"/>
                <c:pt idx="1">
                  <c:v>13</c:v>
                </c:pt>
                <c:pt idx="2">
                  <c:v>9</c:v>
                </c:pt>
                <c:pt idx="3">
                  <c:v>35</c:v>
                </c:pt>
                <c:pt idx="4">
                  <c:v>11</c:v>
                </c:pt>
                <c:pt idx="5">
                  <c:v>15</c:v>
                </c:pt>
                <c:pt idx="6">
                  <c:v>26</c:v>
                </c:pt>
                <c:pt idx="7">
                  <c:v>17</c:v>
                </c:pt>
                <c:pt idx="8">
                  <c:v>11</c:v>
                </c:pt>
                <c:pt idx="9">
                  <c:v>6</c:v>
                </c:pt>
                <c:pt idx="10">
                  <c:v>30</c:v>
                </c:pt>
                <c:pt idx="11">
                  <c:v>22</c:v>
                </c:pt>
                <c:pt idx="12">
                  <c:v>11</c:v>
                </c:pt>
                <c:pt idx="13">
                  <c:v>35</c:v>
                </c:pt>
                <c:pt idx="14">
                  <c:v>13</c:v>
                </c:pt>
                <c:pt idx="15">
                  <c:v>11</c:v>
                </c:pt>
                <c:pt idx="16">
                  <c:v>41</c:v>
                </c:pt>
                <c:pt idx="17">
                  <c:v>24</c:v>
                </c:pt>
                <c:pt idx="18">
                  <c:v>2</c:v>
                </c:pt>
                <c:pt idx="19">
                  <c:v>22</c:v>
                </c:pt>
                <c:pt idx="20">
                  <c:v>30</c:v>
                </c:pt>
              </c:numCache>
            </c:numRef>
          </c:val>
          <c:extLst>
            <c:ext xmlns:c16="http://schemas.microsoft.com/office/drawing/2014/chart" uri="{C3380CC4-5D6E-409C-BE32-E72D297353CC}">
              <c16:uniqueId val="{00000000-039E-4BE4-BC79-70160B2C4FE1}"/>
            </c:ext>
          </c:extLst>
        </c:ser>
        <c:ser>
          <c:idx val="1"/>
          <c:order val="1"/>
          <c:tx>
            <c:strRef>
              <c:f>Participation!$C$1:$C$2</c:f>
              <c:strCache>
                <c:ptCount val="2"/>
                <c:pt idx="0">
                  <c:v>2017 Participation</c:v>
                </c:pt>
                <c:pt idx="1">
                  <c:v>Executive Branch</c:v>
                </c:pt>
              </c:strCache>
            </c:strRef>
          </c:tx>
          <c:spPr>
            <a:solidFill>
              <a:schemeClr val="accent2"/>
            </a:solidFill>
            <a:ln>
              <a:noFill/>
            </a:ln>
            <a:effectLst/>
          </c:spPr>
          <c:invertIfNegative val="0"/>
          <c:cat>
            <c:strRef>
              <c:f>Participation!$A$3:$A$23</c:f>
              <c:strCache>
                <c:ptCount val="21"/>
                <c:pt idx="1">
                  <c:v>Argentina</c:v>
                </c:pt>
                <c:pt idx="2">
                  <c:v>Benin</c:v>
                </c:pt>
                <c:pt idx="3">
                  <c:v>Brazil </c:v>
                </c:pt>
                <c:pt idx="4">
                  <c:v>Chile</c:v>
                </c:pt>
                <c:pt idx="5">
                  <c:v>Colombia</c:v>
                </c:pt>
                <c:pt idx="6">
                  <c:v>Croatia</c:v>
                </c:pt>
                <c:pt idx="7">
                  <c:v>Dom. Republic</c:v>
                </c:pt>
                <c:pt idx="8">
                  <c:v>Egypt</c:v>
                </c:pt>
                <c:pt idx="9">
                  <c:v>El Salvador</c:v>
                </c:pt>
                <c:pt idx="10">
                  <c:v>Guatemala</c:v>
                </c:pt>
                <c:pt idx="11">
                  <c:v>Indonesia</c:v>
                </c:pt>
                <c:pt idx="12">
                  <c:v>Liberia</c:v>
                </c:pt>
                <c:pt idx="13">
                  <c:v>Mexico</c:v>
                </c:pt>
                <c:pt idx="14">
                  <c:v>Nigeria</c:v>
                </c:pt>
                <c:pt idx="15">
                  <c:v>Paraguay</c:v>
                </c:pt>
                <c:pt idx="16">
                  <c:v>Philippines</c:v>
                </c:pt>
                <c:pt idx="17">
                  <c:v>South Africa</c:v>
                </c:pt>
                <c:pt idx="18">
                  <c:v>Tunisia</c:v>
                </c:pt>
                <c:pt idx="19">
                  <c:v>U.S.A.</c:v>
                </c:pt>
                <c:pt idx="20">
                  <c:v>Ukraine</c:v>
                </c:pt>
              </c:strCache>
            </c:strRef>
          </c:cat>
          <c:val>
            <c:numRef>
              <c:f>Participation!$C$3:$C$23</c:f>
              <c:numCache>
                <c:formatCode>General</c:formatCode>
                <c:ptCount val="21"/>
                <c:pt idx="1">
                  <c:v>0</c:v>
                </c:pt>
                <c:pt idx="2">
                  <c:v>0</c:v>
                </c:pt>
                <c:pt idx="3">
                  <c:v>18</c:v>
                </c:pt>
                <c:pt idx="4">
                  <c:v>0</c:v>
                </c:pt>
                <c:pt idx="5">
                  <c:v>3</c:v>
                </c:pt>
                <c:pt idx="6">
                  <c:v>15</c:v>
                </c:pt>
                <c:pt idx="7">
                  <c:v>0</c:v>
                </c:pt>
                <c:pt idx="8">
                  <c:v>18</c:v>
                </c:pt>
                <c:pt idx="9">
                  <c:v>0</c:v>
                </c:pt>
                <c:pt idx="10">
                  <c:v>21</c:v>
                </c:pt>
                <c:pt idx="11">
                  <c:v>18</c:v>
                </c:pt>
                <c:pt idx="12">
                  <c:v>9</c:v>
                </c:pt>
                <c:pt idx="13">
                  <c:v>39</c:v>
                </c:pt>
                <c:pt idx="14">
                  <c:v>12</c:v>
                </c:pt>
                <c:pt idx="15">
                  <c:v>0</c:v>
                </c:pt>
                <c:pt idx="16">
                  <c:v>42</c:v>
                </c:pt>
                <c:pt idx="17">
                  <c:v>24</c:v>
                </c:pt>
                <c:pt idx="18">
                  <c:v>0</c:v>
                </c:pt>
                <c:pt idx="19">
                  <c:v>3</c:v>
                </c:pt>
                <c:pt idx="20">
                  <c:v>27</c:v>
                </c:pt>
              </c:numCache>
            </c:numRef>
          </c:val>
          <c:extLst>
            <c:ext xmlns:c16="http://schemas.microsoft.com/office/drawing/2014/chart" uri="{C3380CC4-5D6E-409C-BE32-E72D297353CC}">
              <c16:uniqueId val="{00000001-039E-4BE4-BC79-70160B2C4FE1}"/>
            </c:ext>
          </c:extLst>
        </c:ser>
        <c:dLbls>
          <c:showLegendKey val="0"/>
          <c:showVal val="0"/>
          <c:showCatName val="0"/>
          <c:showSerName val="0"/>
          <c:showPercent val="0"/>
          <c:showBubbleSize val="0"/>
        </c:dLbls>
        <c:gapWidth val="219"/>
        <c:overlap val="-27"/>
        <c:axId val="581167896"/>
        <c:axId val="581175112"/>
      </c:barChart>
      <c:catAx>
        <c:axId val="581167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1175112"/>
        <c:crosses val="autoZero"/>
        <c:auto val="1"/>
        <c:lblAlgn val="ctr"/>
        <c:lblOffset val="100"/>
        <c:noMultiLvlLbl val="0"/>
      </c:catAx>
      <c:valAx>
        <c:axId val="581175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11678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sz="1200" b="1"/>
              <a:t>Figure 4: Stewards' performance </a:t>
            </a:r>
          </a:p>
          <a:p>
            <a:pPr>
              <a:defRPr/>
            </a:pPr>
            <a:r>
              <a:rPr lang="en-NZ" sz="1200" b="1"/>
              <a:t>on published IMF FTEs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'IMF FTEs'!$B$3</c:f>
              <c:strCache>
                <c:ptCount val="1"/>
                <c:pt idx="0">
                  <c:v>Advanced </c:v>
                </c:pt>
              </c:strCache>
            </c:strRef>
          </c:tx>
          <c:spPr>
            <a:solidFill>
              <a:schemeClr val="accent1"/>
            </a:solidFill>
            <a:ln>
              <a:noFill/>
            </a:ln>
            <a:effectLst/>
          </c:spPr>
          <c:invertIfNegative val="0"/>
          <c:cat>
            <c:strRef>
              <c:f>'IMF FTEs'!$A$4:$A$8</c:f>
              <c:strCache>
                <c:ptCount val="5"/>
                <c:pt idx="0">
                  <c:v>Brazil </c:v>
                </c:pt>
                <c:pt idx="1">
                  <c:v>Colombia </c:v>
                </c:pt>
                <c:pt idx="2">
                  <c:v>Guatemala</c:v>
                </c:pt>
                <c:pt idx="3">
                  <c:v>Philippines</c:v>
                </c:pt>
                <c:pt idx="4">
                  <c:v>Tunisia </c:v>
                </c:pt>
              </c:strCache>
            </c:strRef>
          </c:cat>
          <c:val>
            <c:numRef>
              <c:f>'IMF FTEs'!$B$4:$B$8</c:f>
              <c:numCache>
                <c:formatCode>General</c:formatCode>
                <c:ptCount val="5"/>
                <c:pt idx="0">
                  <c:v>4</c:v>
                </c:pt>
                <c:pt idx="1">
                  <c:v>11</c:v>
                </c:pt>
                <c:pt idx="2">
                  <c:v>4</c:v>
                </c:pt>
                <c:pt idx="3">
                  <c:v>7</c:v>
                </c:pt>
                <c:pt idx="4">
                  <c:v>4</c:v>
                </c:pt>
              </c:numCache>
            </c:numRef>
          </c:val>
          <c:extLst>
            <c:ext xmlns:c16="http://schemas.microsoft.com/office/drawing/2014/chart" uri="{C3380CC4-5D6E-409C-BE32-E72D297353CC}">
              <c16:uniqueId val="{00000000-569B-4D4A-BDED-5956E45C925A}"/>
            </c:ext>
          </c:extLst>
        </c:ser>
        <c:ser>
          <c:idx val="1"/>
          <c:order val="1"/>
          <c:tx>
            <c:strRef>
              <c:f>'IMF FTEs'!$C$3</c:f>
              <c:strCache>
                <c:ptCount val="1"/>
                <c:pt idx="0">
                  <c:v>Good</c:v>
                </c:pt>
              </c:strCache>
            </c:strRef>
          </c:tx>
          <c:spPr>
            <a:solidFill>
              <a:schemeClr val="accent2"/>
            </a:solidFill>
            <a:ln>
              <a:noFill/>
            </a:ln>
            <a:effectLst/>
          </c:spPr>
          <c:invertIfNegative val="0"/>
          <c:cat>
            <c:strRef>
              <c:f>'IMF FTEs'!$A$4:$A$8</c:f>
              <c:strCache>
                <c:ptCount val="5"/>
                <c:pt idx="0">
                  <c:v>Brazil </c:v>
                </c:pt>
                <c:pt idx="1">
                  <c:v>Colombia </c:v>
                </c:pt>
                <c:pt idx="2">
                  <c:v>Guatemala</c:v>
                </c:pt>
                <c:pt idx="3">
                  <c:v>Philippines</c:v>
                </c:pt>
                <c:pt idx="4">
                  <c:v>Tunisia </c:v>
                </c:pt>
              </c:strCache>
            </c:strRef>
          </c:cat>
          <c:val>
            <c:numRef>
              <c:f>'IMF FTEs'!$C$4:$C$8</c:f>
              <c:numCache>
                <c:formatCode>General</c:formatCode>
                <c:ptCount val="5"/>
                <c:pt idx="0">
                  <c:v>14</c:v>
                </c:pt>
                <c:pt idx="1">
                  <c:v>5</c:v>
                </c:pt>
                <c:pt idx="2">
                  <c:v>4</c:v>
                </c:pt>
                <c:pt idx="3">
                  <c:v>16</c:v>
                </c:pt>
                <c:pt idx="4">
                  <c:v>6</c:v>
                </c:pt>
              </c:numCache>
            </c:numRef>
          </c:val>
          <c:extLst>
            <c:ext xmlns:c16="http://schemas.microsoft.com/office/drawing/2014/chart" uri="{C3380CC4-5D6E-409C-BE32-E72D297353CC}">
              <c16:uniqueId val="{00000001-569B-4D4A-BDED-5956E45C925A}"/>
            </c:ext>
          </c:extLst>
        </c:ser>
        <c:ser>
          <c:idx val="2"/>
          <c:order val="2"/>
          <c:tx>
            <c:strRef>
              <c:f>'IMF FTEs'!$D$3</c:f>
              <c:strCache>
                <c:ptCount val="1"/>
                <c:pt idx="0">
                  <c:v>Basic</c:v>
                </c:pt>
              </c:strCache>
            </c:strRef>
          </c:tx>
          <c:spPr>
            <a:solidFill>
              <a:schemeClr val="accent3"/>
            </a:solidFill>
            <a:ln>
              <a:noFill/>
            </a:ln>
            <a:effectLst/>
          </c:spPr>
          <c:invertIfNegative val="0"/>
          <c:cat>
            <c:strRef>
              <c:f>'IMF FTEs'!$A$4:$A$8</c:f>
              <c:strCache>
                <c:ptCount val="5"/>
                <c:pt idx="0">
                  <c:v>Brazil </c:v>
                </c:pt>
                <c:pt idx="1">
                  <c:v>Colombia </c:v>
                </c:pt>
                <c:pt idx="2">
                  <c:v>Guatemala</c:v>
                </c:pt>
                <c:pt idx="3">
                  <c:v>Philippines</c:v>
                </c:pt>
                <c:pt idx="4">
                  <c:v>Tunisia </c:v>
                </c:pt>
              </c:strCache>
            </c:strRef>
          </c:cat>
          <c:val>
            <c:numRef>
              <c:f>'IMF FTEs'!$D$4:$D$8</c:f>
              <c:numCache>
                <c:formatCode>General</c:formatCode>
                <c:ptCount val="5"/>
                <c:pt idx="0">
                  <c:v>13</c:v>
                </c:pt>
                <c:pt idx="1">
                  <c:v>16</c:v>
                </c:pt>
                <c:pt idx="2">
                  <c:v>17</c:v>
                </c:pt>
                <c:pt idx="3">
                  <c:v>8</c:v>
                </c:pt>
                <c:pt idx="4">
                  <c:v>11</c:v>
                </c:pt>
              </c:numCache>
            </c:numRef>
          </c:val>
          <c:extLst>
            <c:ext xmlns:c16="http://schemas.microsoft.com/office/drawing/2014/chart" uri="{C3380CC4-5D6E-409C-BE32-E72D297353CC}">
              <c16:uniqueId val="{00000002-569B-4D4A-BDED-5956E45C925A}"/>
            </c:ext>
          </c:extLst>
        </c:ser>
        <c:ser>
          <c:idx val="3"/>
          <c:order val="3"/>
          <c:tx>
            <c:strRef>
              <c:f>'IMF FTEs'!$E$3</c:f>
              <c:strCache>
                <c:ptCount val="1"/>
                <c:pt idx="0">
                  <c:v>Not met</c:v>
                </c:pt>
              </c:strCache>
            </c:strRef>
          </c:tx>
          <c:spPr>
            <a:solidFill>
              <a:schemeClr val="accent4"/>
            </a:solidFill>
            <a:ln>
              <a:noFill/>
            </a:ln>
            <a:effectLst/>
          </c:spPr>
          <c:invertIfNegative val="0"/>
          <c:cat>
            <c:strRef>
              <c:f>'IMF FTEs'!$A$4:$A$8</c:f>
              <c:strCache>
                <c:ptCount val="5"/>
                <c:pt idx="0">
                  <c:v>Brazil </c:v>
                </c:pt>
                <c:pt idx="1">
                  <c:v>Colombia </c:v>
                </c:pt>
                <c:pt idx="2">
                  <c:v>Guatemala</c:v>
                </c:pt>
                <c:pt idx="3">
                  <c:v>Philippines</c:v>
                </c:pt>
                <c:pt idx="4">
                  <c:v>Tunisia </c:v>
                </c:pt>
              </c:strCache>
            </c:strRef>
          </c:cat>
          <c:val>
            <c:numRef>
              <c:f>'IMF FTEs'!$E$4:$E$8</c:f>
              <c:numCache>
                <c:formatCode>General</c:formatCode>
                <c:ptCount val="5"/>
                <c:pt idx="0">
                  <c:v>5</c:v>
                </c:pt>
                <c:pt idx="1">
                  <c:v>4</c:v>
                </c:pt>
                <c:pt idx="2">
                  <c:v>10</c:v>
                </c:pt>
                <c:pt idx="3">
                  <c:v>4</c:v>
                </c:pt>
                <c:pt idx="4">
                  <c:v>14</c:v>
                </c:pt>
              </c:numCache>
            </c:numRef>
          </c:val>
          <c:extLst>
            <c:ext xmlns:c16="http://schemas.microsoft.com/office/drawing/2014/chart" uri="{C3380CC4-5D6E-409C-BE32-E72D297353CC}">
              <c16:uniqueId val="{00000003-569B-4D4A-BDED-5956E45C925A}"/>
            </c:ext>
          </c:extLst>
        </c:ser>
        <c:dLbls>
          <c:showLegendKey val="0"/>
          <c:showVal val="0"/>
          <c:showCatName val="0"/>
          <c:showSerName val="0"/>
          <c:showPercent val="0"/>
          <c:showBubbleSize val="0"/>
        </c:dLbls>
        <c:gapWidth val="219"/>
        <c:overlap val="-27"/>
        <c:axId val="453738776"/>
        <c:axId val="453737136"/>
      </c:barChart>
      <c:catAx>
        <c:axId val="453738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3737136"/>
        <c:crosses val="autoZero"/>
        <c:auto val="1"/>
        <c:lblAlgn val="ctr"/>
        <c:lblOffset val="100"/>
        <c:noMultiLvlLbl val="0"/>
      </c:catAx>
      <c:valAx>
        <c:axId val="4537371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37387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ADBD2-5EB5-4EA4-AC69-65F6D3859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10687</Words>
  <Characters>60917</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dc:creator>
  <cp:keywords/>
  <dc:description/>
  <cp:lastModifiedBy>murray petrie</cp:lastModifiedBy>
  <cp:revision>2</cp:revision>
  <cp:lastPrinted>2018-09-21T06:35:00Z</cp:lastPrinted>
  <dcterms:created xsi:type="dcterms:W3CDTF">2018-10-19T19:32:00Z</dcterms:created>
  <dcterms:modified xsi:type="dcterms:W3CDTF">2018-10-19T19:32:00Z</dcterms:modified>
</cp:coreProperties>
</file>