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FEBD1" w14:textId="79316A51" w:rsidR="008C5BCC" w:rsidRPr="00543579" w:rsidRDefault="008C5BCC" w:rsidP="008C5BCC">
      <w:pPr>
        <w:pStyle w:val="NoSpacing"/>
        <w:jc w:val="right"/>
        <w:rPr>
          <w:rFonts w:ascii="Arial" w:hAnsi="Arial" w:cs="Arial"/>
          <w:sz w:val="22"/>
          <w:szCs w:val="22"/>
        </w:rPr>
      </w:pPr>
      <w:r w:rsidRPr="00543579">
        <w:rPr>
          <w:rFonts w:ascii="Arial" w:hAnsi="Arial" w:cs="Arial"/>
          <w:sz w:val="22"/>
          <w:szCs w:val="22"/>
        </w:rPr>
        <w:t xml:space="preserve">Washington DC, </w:t>
      </w:r>
      <w:r w:rsidR="006C3B87" w:rsidRPr="00543579">
        <w:rPr>
          <w:rFonts w:ascii="Arial" w:hAnsi="Arial" w:cs="Arial"/>
          <w:sz w:val="22"/>
          <w:szCs w:val="22"/>
        </w:rPr>
        <w:t>August 15</w:t>
      </w:r>
      <w:r w:rsidRPr="00543579">
        <w:rPr>
          <w:rFonts w:ascii="Arial" w:hAnsi="Arial" w:cs="Arial"/>
          <w:sz w:val="22"/>
          <w:szCs w:val="22"/>
        </w:rPr>
        <w:t xml:space="preserve"> 2016</w:t>
      </w:r>
    </w:p>
    <w:p w14:paraId="3E1C9132" w14:textId="77777777" w:rsidR="008C5BCC" w:rsidRPr="00543579" w:rsidRDefault="008C5BCC" w:rsidP="008C5BCC">
      <w:pPr>
        <w:pStyle w:val="NoSpacing"/>
        <w:rPr>
          <w:rFonts w:ascii="Arial" w:hAnsi="Arial" w:cs="Arial"/>
          <w:sz w:val="22"/>
          <w:szCs w:val="22"/>
        </w:rPr>
      </w:pPr>
    </w:p>
    <w:p w14:paraId="2FF519FF" w14:textId="77777777" w:rsidR="006C3B87" w:rsidRPr="00543579" w:rsidRDefault="006C3B87" w:rsidP="006C3B87">
      <w:pPr>
        <w:jc w:val="center"/>
        <w:rPr>
          <w:rFonts w:ascii="Arial" w:hAnsi="Arial" w:cs="Arial"/>
          <w:b/>
          <w:sz w:val="22"/>
          <w:szCs w:val="22"/>
        </w:rPr>
      </w:pPr>
    </w:p>
    <w:p w14:paraId="68F31764" w14:textId="5585194A" w:rsidR="006C3B87" w:rsidRPr="00543579" w:rsidRDefault="006C3B87" w:rsidP="006C3B87">
      <w:pPr>
        <w:jc w:val="center"/>
        <w:rPr>
          <w:rFonts w:ascii="Arial" w:hAnsi="Arial" w:cs="Arial"/>
          <w:b/>
          <w:sz w:val="22"/>
          <w:szCs w:val="22"/>
        </w:rPr>
      </w:pPr>
      <w:r w:rsidRPr="00543579">
        <w:rPr>
          <w:rFonts w:ascii="Arial" w:hAnsi="Arial" w:cs="Arial"/>
          <w:b/>
          <w:sz w:val="22"/>
          <w:szCs w:val="22"/>
        </w:rPr>
        <w:t>GIFT Comments on Tunisia’s draft Second OGP National Action Plan 2016-2018</w:t>
      </w:r>
      <w:r w:rsidRPr="00543579">
        <w:rPr>
          <w:rStyle w:val="FootnoteReference"/>
          <w:rFonts w:ascii="Arial" w:hAnsi="Arial" w:cs="Arial"/>
          <w:b/>
          <w:sz w:val="22"/>
          <w:szCs w:val="22"/>
        </w:rPr>
        <w:footnoteReference w:id="1"/>
      </w:r>
    </w:p>
    <w:p w14:paraId="50D53A4F" w14:textId="77777777" w:rsidR="006C3B87" w:rsidRPr="00543579" w:rsidRDefault="006C3B87" w:rsidP="006C3B87">
      <w:pPr>
        <w:rPr>
          <w:rFonts w:ascii="Arial" w:hAnsi="Arial" w:cs="Arial"/>
          <w:b/>
          <w:sz w:val="22"/>
          <w:szCs w:val="22"/>
        </w:rPr>
      </w:pPr>
    </w:p>
    <w:p w14:paraId="46285D4C" w14:textId="77777777" w:rsidR="006C3B87" w:rsidRPr="00543579" w:rsidRDefault="006C3B87" w:rsidP="006C3B87">
      <w:pPr>
        <w:jc w:val="center"/>
        <w:rPr>
          <w:rFonts w:ascii="Arial" w:hAnsi="Arial" w:cs="Arial"/>
          <w:b/>
          <w:sz w:val="22"/>
          <w:szCs w:val="22"/>
          <w:lang w:eastAsia="en-US"/>
        </w:rPr>
      </w:pPr>
    </w:p>
    <w:p w14:paraId="1590022E" w14:textId="77777777" w:rsidR="006C3B87" w:rsidRPr="00543579" w:rsidRDefault="006C3B87" w:rsidP="006C3B87">
      <w:pPr>
        <w:pStyle w:val="ListParagraph"/>
        <w:numPr>
          <w:ilvl w:val="0"/>
          <w:numId w:val="12"/>
        </w:numPr>
        <w:contextualSpacing w:val="0"/>
        <w:rPr>
          <w:rFonts w:ascii="Arial" w:hAnsi="Arial" w:cs="Arial"/>
          <w:sz w:val="22"/>
          <w:szCs w:val="22"/>
        </w:rPr>
      </w:pPr>
      <w:r w:rsidRPr="00543579">
        <w:rPr>
          <w:rFonts w:ascii="Arial" w:hAnsi="Arial" w:cs="Arial"/>
          <w:sz w:val="22"/>
          <w:szCs w:val="22"/>
        </w:rPr>
        <w:t>As one of the Open Government Partnership (OGP) working groups, the Fiscal Openness Working Group (FOWG) offers to review and comment on the fiscal transparency commitments in draft OGP National Action Plans, in order to support and promote the implementation of more effective and ambitious commitments.</w:t>
      </w:r>
    </w:p>
    <w:p w14:paraId="50B062D2" w14:textId="599830B8" w:rsidR="006C3B87" w:rsidRPr="00543579" w:rsidRDefault="006C3B87" w:rsidP="006C3B87">
      <w:pPr>
        <w:pStyle w:val="ListParagraph"/>
        <w:numPr>
          <w:ilvl w:val="0"/>
          <w:numId w:val="12"/>
        </w:numPr>
        <w:contextualSpacing w:val="0"/>
        <w:rPr>
          <w:rFonts w:ascii="Arial" w:hAnsi="Arial" w:cs="Arial"/>
          <w:sz w:val="22"/>
          <w:szCs w:val="22"/>
        </w:rPr>
      </w:pPr>
      <w:r w:rsidRPr="00543579">
        <w:rPr>
          <w:rFonts w:ascii="Arial" w:hAnsi="Arial" w:cs="Arial"/>
          <w:sz w:val="22"/>
          <w:szCs w:val="22"/>
        </w:rPr>
        <w:t xml:space="preserve">GIFT welcomes the fiscal transparency initiative in Tunisia’s draft second Action Plan; </w:t>
      </w:r>
      <w:r w:rsidR="00543579" w:rsidRPr="00543579">
        <w:rPr>
          <w:rFonts w:ascii="Arial" w:hAnsi="Arial" w:cs="Arial"/>
          <w:sz w:val="22"/>
          <w:szCs w:val="22"/>
        </w:rPr>
        <w:t>it is a s</w:t>
      </w:r>
      <w:r w:rsidRPr="00543579">
        <w:rPr>
          <w:rFonts w:ascii="Arial" w:hAnsi="Arial" w:cs="Arial"/>
          <w:sz w:val="22"/>
          <w:szCs w:val="22"/>
        </w:rPr>
        <w:t xml:space="preserve">ignificant </w:t>
      </w:r>
      <w:r w:rsidR="00543579" w:rsidRPr="00543579">
        <w:rPr>
          <w:rFonts w:ascii="Arial" w:hAnsi="Arial" w:cs="Arial"/>
          <w:sz w:val="22"/>
          <w:szCs w:val="22"/>
        </w:rPr>
        <w:t xml:space="preserve">measure </w:t>
      </w:r>
      <w:r w:rsidRPr="00543579">
        <w:rPr>
          <w:rFonts w:ascii="Arial" w:hAnsi="Arial" w:cs="Arial"/>
          <w:sz w:val="22"/>
          <w:szCs w:val="22"/>
        </w:rPr>
        <w:t>and</w:t>
      </w:r>
      <w:r w:rsidR="00543579" w:rsidRPr="00543579">
        <w:rPr>
          <w:rFonts w:ascii="Arial" w:hAnsi="Arial" w:cs="Arial"/>
          <w:sz w:val="22"/>
          <w:szCs w:val="22"/>
        </w:rPr>
        <w:t xml:space="preserve"> overall, the Plan </w:t>
      </w:r>
      <w:r w:rsidRPr="00543579">
        <w:rPr>
          <w:rFonts w:ascii="Arial" w:hAnsi="Arial" w:cs="Arial"/>
          <w:sz w:val="22"/>
          <w:szCs w:val="22"/>
        </w:rPr>
        <w:t>include</w:t>
      </w:r>
      <w:r w:rsidR="00543579" w:rsidRPr="00543579">
        <w:rPr>
          <w:rFonts w:ascii="Arial" w:hAnsi="Arial" w:cs="Arial"/>
          <w:sz w:val="22"/>
          <w:szCs w:val="22"/>
        </w:rPr>
        <w:t>s</w:t>
      </w:r>
      <w:r w:rsidRPr="00543579">
        <w:rPr>
          <w:rFonts w:ascii="Arial" w:hAnsi="Arial" w:cs="Arial"/>
          <w:sz w:val="22"/>
          <w:szCs w:val="22"/>
        </w:rPr>
        <w:t xml:space="preserve"> some of the priorities identified by the </w:t>
      </w:r>
      <w:r w:rsidR="00046AEE" w:rsidRPr="00543579">
        <w:rPr>
          <w:rFonts w:ascii="Arial" w:hAnsi="Arial" w:cs="Arial"/>
          <w:sz w:val="22"/>
          <w:szCs w:val="22"/>
        </w:rPr>
        <w:t>Independent</w:t>
      </w:r>
      <w:r w:rsidRPr="00543579">
        <w:rPr>
          <w:rFonts w:ascii="Arial" w:hAnsi="Arial" w:cs="Arial"/>
          <w:sz w:val="22"/>
          <w:szCs w:val="22"/>
        </w:rPr>
        <w:t xml:space="preserve"> Review Mechanisms. </w:t>
      </w:r>
      <w:r w:rsidR="00543579" w:rsidRPr="00543579">
        <w:rPr>
          <w:rFonts w:ascii="Arial" w:hAnsi="Arial" w:cs="Arial"/>
          <w:sz w:val="22"/>
          <w:szCs w:val="22"/>
        </w:rPr>
        <w:t xml:space="preserve">According to the proposal, these commitments </w:t>
      </w:r>
      <w:r w:rsidRPr="00543579">
        <w:rPr>
          <w:rFonts w:ascii="Arial" w:hAnsi="Arial" w:cs="Arial"/>
          <w:sz w:val="22"/>
          <w:szCs w:val="22"/>
        </w:rPr>
        <w:t xml:space="preserve">also result from a process of public consultation which is in line with the OPG recommendations. </w:t>
      </w:r>
    </w:p>
    <w:p w14:paraId="3FD2584A" w14:textId="0CB54114" w:rsidR="006C3B87" w:rsidRPr="00543579" w:rsidRDefault="006C3B87" w:rsidP="006C3B87">
      <w:pPr>
        <w:pStyle w:val="ListParagraph"/>
        <w:numPr>
          <w:ilvl w:val="0"/>
          <w:numId w:val="12"/>
        </w:numPr>
        <w:contextualSpacing w:val="0"/>
        <w:rPr>
          <w:rFonts w:ascii="Arial" w:hAnsi="Arial" w:cs="Arial"/>
          <w:sz w:val="22"/>
          <w:szCs w:val="22"/>
        </w:rPr>
      </w:pPr>
      <w:r w:rsidRPr="00543579">
        <w:rPr>
          <w:rFonts w:ascii="Arial" w:hAnsi="Arial" w:cs="Arial"/>
          <w:sz w:val="22"/>
          <w:szCs w:val="22"/>
        </w:rPr>
        <w:t>There is scope to extend and deepen public participation in ways that would contribute to a government’s objectives of increasing efficiency and cost-effectiveness. These include</w:t>
      </w:r>
      <w:r w:rsidR="00046AEE" w:rsidRPr="00543579">
        <w:rPr>
          <w:rFonts w:ascii="Arial" w:hAnsi="Arial" w:cs="Arial"/>
          <w:sz w:val="22"/>
          <w:szCs w:val="22"/>
        </w:rPr>
        <w:t xml:space="preserve"> the process of producing better regulations for the implementation and enforcement of the right to information law, </w:t>
      </w:r>
      <w:r w:rsidR="00876ADF" w:rsidRPr="00543579">
        <w:rPr>
          <w:rFonts w:ascii="Arial" w:hAnsi="Arial" w:cs="Arial"/>
          <w:sz w:val="22"/>
          <w:szCs w:val="22"/>
        </w:rPr>
        <w:t xml:space="preserve">dialogue on public policies involving the youth and the creation of </w:t>
      </w:r>
      <w:r w:rsidR="004F0EF8" w:rsidRPr="00543579">
        <w:rPr>
          <w:rFonts w:ascii="Arial" w:hAnsi="Arial" w:cs="Arial"/>
          <w:sz w:val="22"/>
          <w:szCs w:val="22"/>
        </w:rPr>
        <w:t>citizens’</w:t>
      </w:r>
      <w:r w:rsidR="00876ADF" w:rsidRPr="00543579">
        <w:rPr>
          <w:rFonts w:ascii="Arial" w:hAnsi="Arial" w:cs="Arial"/>
          <w:sz w:val="22"/>
          <w:szCs w:val="22"/>
        </w:rPr>
        <w:t xml:space="preserve"> councils at the local level. </w:t>
      </w:r>
      <w:r w:rsidR="004F0EF8">
        <w:rPr>
          <w:rFonts w:ascii="Arial" w:hAnsi="Arial" w:cs="Arial"/>
          <w:sz w:val="22"/>
          <w:szCs w:val="22"/>
        </w:rPr>
        <w:t xml:space="preserve">We suggest to refer to the GIFT Principles on Public Participation in Fiscal Policies </w:t>
      </w:r>
      <w:hyperlink r:id="rId7" w:history="1">
        <w:r w:rsidR="004F0EF8" w:rsidRPr="004F0EF8">
          <w:rPr>
            <w:rStyle w:val="Hyperlink"/>
            <w:rFonts w:ascii="Arial" w:hAnsi="Arial" w:cs="Arial"/>
            <w:sz w:val="22"/>
            <w:szCs w:val="22"/>
          </w:rPr>
          <w:t>(Here)</w:t>
        </w:r>
      </w:hyperlink>
      <w:r w:rsidR="004F0EF8">
        <w:rPr>
          <w:rFonts w:ascii="Arial" w:hAnsi="Arial" w:cs="Arial"/>
          <w:sz w:val="22"/>
          <w:szCs w:val="22"/>
        </w:rPr>
        <w:t xml:space="preserve"> and to the Guide on Principles and Mechanisms, as a normative framework and a practical guide with examples on </w:t>
      </w:r>
      <w:bookmarkStart w:id="0" w:name="_GoBack"/>
      <w:bookmarkEnd w:id="0"/>
      <w:r w:rsidR="004F0EF8">
        <w:rPr>
          <w:rFonts w:ascii="Arial" w:hAnsi="Arial" w:cs="Arial"/>
          <w:sz w:val="22"/>
          <w:szCs w:val="22"/>
        </w:rPr>
        <w:t xml:space="preserve">public engagement in government programs and policies. </w:t>
      </w:r>
    </w:p>
    <w:p w14:paraId="75863BE0" w14:textId="77777777" w:rsidR="006C3B87" w:rsidRPr="00543579" w:rsidRDefault="006C3B87" w:rsidP="006C3B87">
      <w:pPr>
        <w:pStyle w:val="ListParagraph"/>
        <w:numPr>
          <w:ilvl w:val="0"/>
          <w:numId w:val="13"/>
        </w:numPr>
        <w:contextualSpacing w:val="0"/>
        <w:rPr>
          <w:rFonts w:ascii="Arial" w:hAnsi="Arial" w:cs="Arial"/>
          <w:sz w:val="22"/>
          <w:szCs w:val="22"/>
        </w:rPr>
      </w:pPr>
      <w:r w:rsidRPr="00543579">
        <w:rPr>
          <w:rFonts w:ascii="Arial" w:hAnsi="Arial" w:cs="Arial"/>
          <w:sz w:val="22"/>
          <w:szCs w:val="22"/>
        </w:rPr>
        <w:t>Through the activities of the FOWG, GIFT can help support and facilitate implementation of the commitments in the Action Plan, as well as the development over time of new commitments for the third Action Plan that build on progress on the first and second plans.</w:t>
      </w:r>
    </w:p>
    <w:p w14:paraId="39B40766" w14:textId="77777777" w:rsidR="006C3B87" w:rsidRPr="00543579" w:rsidRDefault="006C3B87" w:rsidP="006C3B87">
      <w:pPr>
        <w:rPr>
          <w:rFonts w:ascii="Arial" w:hAnsi="Arial" w:cs="Arial"/>
          <w:sz w:val="22"/>
          <w:szCs w:val="22"/>
        </w:rPr>
      </w:pPr>
    </w:p>
    <w:p w14:paraId="1CF02A92" w14:textId="77777777" w:rsidR="006C3B87" w:rsidRPr="00543579" w:rsidRDefault="006C3B87" w:rsidP="006C3B87">
      <w:pPr>
        <w:rPr>
          <w:rFonts w:ascii="Arial" w:hAnsi="Arial" w:cs="Arial"/>
          <w:b/>
          <w:sz w:val="22"/>
          <w:szCs w:val="22"/>
          <w:lang w:eastAsia="en-US"/>
        </w:rPr>
      </w:pPr>
    </w:p>
    <w:p w14:paraId="449DDDDC" w14:textId="77777777" w:rsidR="006C3B87" w:rsidRPr="00543579" w:rsidRDefault="006C3B87" w:rsidP="006C3B87">
      <w:pPr>
        <w:rPr>
          <w:rFonts w:ascii="Arial" w:hAnsi="Arial" w:cs="Arial"/>
          <w:b/>
          <w:sz w:val="22"/>
          <w:szCs w:val="22"/>
          <w:lang w:eastAsia="en-US"/>
        </w:rPr>
      </w:pPr>
      <w:r w:rsidRPr="00543579">
        <w:rPr>
          <w:rFonts w:ascii="Arial" w:hAnsi="Arial" w:cs="Arial"/>
          <w:b/>
          <w:sz w:val="22"/>
          <w:szCs w:val="22"/>
          <w:lang w:eastAsia="en-US"/>
        </w:rPr>
        <w:t>Comment</w:t>
      </w:r>
    </w:p>
    <w:p w14:paraId="77550AF3" w14:textId="77777777" w:rsidR="006C3B87" w:rsidRPr="00543579" w:rsidRDefault="006C3B87" w:rsidP="006C3B87">
      <w:pPr>
        <w:rPr>
          <w:rFonts w:ascii="Arial" w:hAnsi="Arial" w:cs="Arial"/>
          <w:b/>
          <w:sz w:val="22"/>
          <w:szCs w:val="22"/>
          <w:lang w:eastAsia="en-US"/>
        </w:rPr>
      </w:pPr>
    </w:p>
    <w:p w14:paraId="1491F7CD" w14:textId="77777777" w:rsidR="006C3B87" w:rsidRPr="00543579" w:rsidRDefault="006C3B87" w:rsidP="006C3B87">
      <w:pPr>
        <w:rPr>
          <w:rFonts w:ascii="Arial" w:hAnsi="Arial" w:cs="Arial"/>
          <w:sz w:val="22"/>
          <w:szCs w:val="22"/>
          <w:lang w:eastAsia="en-US"/>
        </w:rPr>
      </w:pPr>
      <w:r w:rsidRPr="00543579">
        <w:rPr>
          <w:rFonts w:ascii="Arial" w:hAnsi="Arial" w:cs="Arial"/>
          <w:sz w:val="22"/>
          <w:szCs w:val="22"/>
          <w:lang w:eastAsia="en-US"/>
        </w:rPr>
        <w:t>GIFT has commented generally that careful attention is needed to specifying each commitment in an Action Plan, and that using SMART criteria can be a helpful approach: commitments should be specific, measurable, achievable, relevant, and time bound.  This approach increases the likelihood that commitments are well designed and planned, that implementation can be monitored, and that there is accountability for completing commitments. It could also make it easier to attract external funding for some of the commitments.</w:t>
      </w:r>
    </w:p>
    <w:p w14:paraId="3EDC4020" w14:textId="77777777" w:rsidR="006C3B87" w:rsidRPr="00543579" w:rsidRDefault="006C3B87" w:rsidP="006C3B87">
      <w:pPr>
        <w:rPr>
          <w:rFonts w:ascii="Arial" w:hAnsi="Arial" w:cs="Arial"/>
          <w:sz w:val="22"/>
          <w:szCs w:val="22"/>
          <w:lang w:eastAsia="en-US"/>
        </w:rPr>
      </w:pPr>
    </w:p>
    <w:p w14:paraId="2294DE7F" w14:textId="09CBF98B" w:rsidR="006C3B87" w:rsidRPr="00543579" w:rsidRDefault="006C3B87" w:rsidP="006C3B87">
      <w:pPr>
        <w:rPr>
          <w:rFonts w:ascii="Arial" w:hAnsi="Arial" w:cs="Arial"/>
          <w:sz w:val="22"/>
          <w:szCs w:val="22"/>
          <w:lang w:eastAsia="en-US"/>
        </w:rPr>
      </w:pPr>
      <w:r w:rsidRPr="00543579">
        <w:rPr>
          <w:rFonts w:ascii="Arial" w:hAnsi="Arial" w:cs="Arial"/>
          <w:sz w:val="22"/>
          <w:szCs w:val="22"/>
          <w:lang w:eastAsia="en-US"/>
        </w:rPr>
        <w:t xml:space="preserve">Looking at </w:t>
      </w:r>
      <w:r w:rsidR="003F30E2" w:rsidRPr="00543579">
        <w:rPr>
          <w:rFonts w:ascii="Arial" w:hAnsi="Arial" w:cs="Arial"/>
          <w:sz w:val="22"/>
          <w:szCs w:val="22"/>
          <w:lang w:eastAsia="en-US"/>
        </w:rPr>
        <w:t>Tunisia</w:t>
      </w:r>
      <w:r w:rsidRPr="00543579">
        <w:rPr>
          <w:rFonts w:ascii="Arial" w:hAnsi="Arial" w:cs="Arial"/>
          <w:sz w:val="22"/>
          <w:szCs w:val="22"/>
          <w:lang w:eastAsia="en-US"/>
        </w:rPr>
        <w:t>’s draft 2015-16 NAP from this perspective, there is scope to more clearly specify various parameters of some of the commitments, as indicated below.</w:t>
      </w:r>
    </w:p>
    <w:p w14:paraId="442883EE" w14:textId="77777777" w:rsidR="006C3B87" w:rsidRPr="00543579" w:rsidRDefault="006C3B87" w:rsidP="006C3B87">
      <w:pPr>
        <w:rPr>
          <w:rFonts w:ascii="Arial" w:hAnsi="Arial" w:cs="Arial"/>
          <w:sz w:val="22"/>
          <w:szCs w:val="22"/>
          <w:lang w:eastAsia="en-US"/>
        </w:rPr>
      </w:pPr>
    </w:p>
    <w:p w14:paraId="772472D6" w14:textId="77777777" w:rsidR="008107A6" w:rsidRDefault="006C3B87" w:rsidP="003F30E2">
      <w:pPr>
        <w:rPr>
          <w:rFonts w:ascii="Arial" w:hAnsi="Arial" w:cs="Arial"/>
          <w:sz w:val="22"/>
          <w:szCs w:val="22"/>
          <w:lang w:eastAsia="en-US"/>
        </w:rPr>
      </w:pPr>
      <w:r w:rsidRPr="00543579">
        <w:rPr>
          <w:rFonts w:ascii="Arial" w:hAnsi="Arial" w:cs="Arial"/>
          <w:sz w:val="22"/>
          <w:szCs w:val="22"/>
          <w:lang w:eastAsia="en-US"/>
        </w:rPr>
        <w:t>The main fiscal transparency commitment in</w:t>
      </w:r>
      <w:r w:rsidR="003F30E2" w:rsidRPr="00543579">
        <w:rPr>
          <w:rFonts w:ascii="Arial" w:hAnsi="Arial" w:cs="Arial"/>
          <w:sz w:val="22"/>
          <w:szCs w:val="22"/>
          <w:lang w:eastAsia="en-US"/>
        </w:rPr>
        <w:t xml:space="preserve"> Tunisia</w:t>
      </w:r>
      <w:r w:rsidRPr="00543579">
        <w:rPr>
          <w:rFonts w:ascii="Arial" w:hAnsi="Arial" w:cs="Arial"/>
          <w:sz w:val="22"/>
          <w:szCs w:val="22"/>
          <w:lang w:eastAsia="en-US"/>
        </w:rPr>
        <w:t>’s d</w:t>
      </w:r>
      <w:r w:rsidR="003F30E2" w:rsidRPr="00543579">
        <w:rPr>
          <w:rFonts w:ascii="Arial" w:hAnsi="Arial" w:cs="Arial"/>
          <w:sz w:val="22"/>
          <w:szCs w:val="22"/>
          <w:lang w:eastAsia="en-US"/>
        </w:rPr>
        <w:t>raft Action Plan is Commitment 9, “Promoting Financial and Fiscal Transparency through the preparation and the publication of a report on fiscal and financial expenditures”.</w:t>
      </w:r>
    </w:p>
    <w:p w14:paraId="0E0AA493" w14:textId="4C567354" w:rsidR="003F30E2" w:rsidRDefault="006C3B87" w:rsidP="003F30E2">
      <w:pPr>
        <w:rPr>
          <w:rFonts w:ascii="Arial" w:hAnsi="Arial" w:cs="Arial"/>
          <w:sz w:val="22"/>
          <w:szCs w:val="22"/>
        </w:rPr>
      </w:pPr>
      <w:r w:rsidRPr="00543579">
        <w:rPr>
          <w:rFonts w:ascii="Arial" w:hAnsi="Arial" w:cs="Arial"/>
          <w:sz w:val="22"/>
          <w:szCs w:val="22"/>
          <w:lang w:eastAsia="en-US"/>
        </w:rPr>
        <w:br/>
        <w:t xml:space="preserve">This commitment </w:t>
      </w:r>
      <w:r w:rsidR="003F30E2" w:rsidRPr="00543579">
        <w:rPr>
          <w:rFonts w:ascii="Arial" w:hAnsi="Arial" w:cs="Arial"/>
          <w:sz w:val="22"/>
          <w:szCs w:val="22"/>
        </w:rPr>
        <w:t xml:space="preserve">aims to improve the revenue sources and internal resources through better information that illustrates on ways for a better exploitation of the Energy tax, among others by </w:t>
      </w:r>
      <w:r w:rsidR="003F30E2" w:rsidRPr="00543579">
        <w:rPr>
          <w:rFonts w:ascii="Arial" w:hAnsi="Arial" w:cs="Arial"/>
          <w:sz w:val="22"/>
          <w:szCs w:val="22"/>
        </w:rPr>
        <w:lastRenderedPageBreak/>
        <w:t xml:space="preserve">especially by reducing tax expenditures. The goal is to publish the information on tax expenditures on </w:t>
      </w:r>
      <w:r w:rsidR="00C16AA1" w:rsidRPr="00543579">
        <w:rPr>
          <w:rFonts w:ascii="Arial" w:hAnsi="Arial" w:cs="Arial"/>
          <w:sz w:val="22"/>
          <w:szCs w:val="22"/>
        </w:rPr>
        <w:t>a</w:t>
      </w:r>
      <w:r w:rsidR="003F30E2" w:rsidRPr="00543579">
        <w:rPr>
          <w:rFonts w:ascii="Arial" w:hAnsi="Arial" w:cs="Arial"/>
          <w:sz w:val="22"/>
          <w:szCs w:val="22"/>
        </w:rPr>
        <w:t xml:space="preserve"> yearly basis by including the evaluation report on these expenses.</w:t>
      </w:r>
    </w:p>
    <w:p w14:paraId="2B933376" w14:textId="77777777" w:rsidR="008107A6" w:rsidRPr="00543579" w:rsidRDefault="008107A6" w:rsidP="003F30E2">
      <w:pPr>
        <w:rPr>
          <w:rFonts w:ascii="Arial" w:hAnsi="Arial" w:cs="Arial"/>
          <w:sz w:val="22"/>
          <w:szCs w:val="22"/>
        </w:rPr>
      </w:pPr>
    </w:p>
    <w:p w14:paraId="49585120" w14:textId="2EBF0123" w:rsidR="003F30E2" w:rsidRPr="00543579" w:rsidRDefault="00C16AA1" w:rsidP="003F30E2">
      <w:pPr>
        <w:pStyle w:val="NoSpacing"/>
        <w:rPr>
          <w:rFonts w:ascii="Arial" w:hAnsi="Arial" w:cs="Arial"/>
          <w:sz w:val="22"/>
          <w:szCs w:val="22"/>
        </w:rPr>
      </w:pPr>
      <w:r w:rsidRPr="00543579">
        <w:rPr>
          <w:rFonts w:ascii="Arial" w:hAnsi="Arial" w:cs="Arial"/>
          <w:sz w:val="22"/>
          <w:szCs w:val="22"/>
        </w:rPr>
        <w:t xml:space="preserve">The commitment refers to a methodology on tax </w:t>
      </w:r>
      <w:r w:rsidR="003F30E2" w:rsidRPr="00543579">
        <w:rPr>
          <w:rFonts w:ascii="Arial" w:hAnsi="Arial" w:cs="Arial"/>
          <w:sz w:val="22"/>
          <w:szCs w:val="22"/>
        </w:rPr>
        <w:t>expenditur</w:t>
      </w:r>
      <w:r w:rsidRPr="00543579">
        <w:rPr>
          <w:rFonts w:ascii="Arial" w:hAnsi="Arial" w:cs="Arial"/>
          <w:sz w:val="22"/>
          <w:szCs w:val="22"/>
        </w:rPr>
        <w:t xml:space="preserve">es </w:t>
      </w:r>
      <w:r w:rsidR="003F30E2" w:rsidRPr="00543579">
        <w:rPr>
          <w:rFonts w:ascii="Arial" w:hAnsi="Arial" w:cs="Arial"/>
          <w:sz w:val="22"/>
          <w:szCs w:val="22"/>
        </w:rPr>
        <w:t>based on:</w:t>
      </w:r>
    </w:p>
    <w:p w14:paraId="5C2D1B87" w14:textId="709B6032" w:rsidR="003F30E2" w:rsidRPr="00543579" w:rsidRDefault="003F30E2" w:rsidP="003F30E2">
      <w:pPr>
        <w:pStyle w:val="NoSpacing"/>
        <w:rPr>
          <w:rFonts w:ascii="Arial" w:hAnsi="Arial" w:cs="Arial"/>
          <w:sz w:val="22"/>
          <w:szCs w:val="22"/>
        </w:rPr>
      </w:pPr>
      <w:r w:rsidRPr="00543579">
        <w:rPr>
          <w:rFonts w:ascii="Arial" w:hAnsi="Arial" w:cs="Arial"/>
          <w:sz w:val="22"/>
          <w:szCs w:val="22"/>
        </w:rPr>
        <w:t>- Assessing the impact of the tax regime of exceptional systems on all sectors of the economy;</w:t>
      </w:r>
    </w:p>
    <w:p w14:paraId="49860141" w14:textId="3B0D05BE" w:rsidR="003F30E2" w:rsidRPr="00543579" w:rsidRDefault="003F30E2" w:rsidP="003F30E2">
      <w:pPr>
        <w:pStyle w:val="NoSpacing"/>
        <w:rPr>
          <w:rFonts w:ascii="Arial" w:hAnsi="Arial" w:cs="Arial"/>
          <w:sz w:val="22"/>
          <w:szCs w:val="22"/>
        </w:rPr>
      </w:pPr>
      <w:r w:rsidRPr="00543579">
        <w:rPr>
          <w:rFonts w:ascii="Arial" w:hAnsi="Arial" w:cs="Arial"/>
          <w:sz w:val="22"/>
          <w:szCs w:val="22"/>
        </w:rPr>
        <w:t xml:space="preserve">- </w:t>
      </w:r>
      <w:r w:rsidR="00C16AA1" w:rsidRPr="00543579">
        <w:rPr>
          <w:rFonts w:ascii="Arial" w:hAnsi="Arial" w:cs="Arial"/>
          <w:sz w:val="22"/>
          <w:szCs w:val="22"/>
        </w:rPr>
        <w:t>Introducing r</w:t>
      </w:r>
      <w:r w:rsidRPr="00543579">
        <w:rPr>
          <w:rFonts w:ascii="Arial" w:hAnsi="Arial" w:cs="Arial"/>
          <w:sz w:val="22"/>
          <w:szCs w:val="22"/>
        </w:rPr>
        <w:t>egulat</w:t>
      </w:r>
      <w:r w:rsidR="00C16AA1" w:rsidRPr="00543579">
        <w:rPr>
          <w:rFonts w:ascii="Arial" w:hAnsi="Arial" w:cs="Arial"/>
          <w:sz w:val="22"/>
          <w:szCs w:val="22"/>
        </w:rPr>
        <w:t xml:space="preserve">ion of the </w:t>
      </w:r>
      <w:r w:rsidRPr="00543579">
        <w:rPr>
          <w:rFonts w:ascii="Arial" w:hAnsi="Arial" w:cs="Arial"/>
          <w:sz w:val="22"/>
          <w:szCs w:val="22"/>
        </w:rPr>
        <w:t>fiscal base and rates.</w:t>
      </w:r>
    </w:p>
    <w:p w14:paraId="7DA21792" w14:textId="77777777" w:rsidR="00C16AA1" w:rsidRPr="00543579" w:rsidRDefault="00C16AA1" w:rsidP="003F30E2">
      <w:pPr>
        <w:pStyle w:val="NoSpacing"/>
        <w:rPr>
          <w:rFonts w:ascii="Arial" w:hAnsi="Arial" w:cs="Arial"/>
          <w:bCs/>
          <w:sz w:val="22"/>
          <w:szCs w:val="22"/>
        </w:rPr>
      </w:pPr>
    </w:p>
    <w:p w14:paraId="34A27876" w14:textId="1AE13FCB" w:rsidR="003F30E2" w:rsidRPr="00543579" w:rsidRDefault="003F30E2" w:rsidP="003F30E2">
      <w:pPr>
        <w:pStyle w:val="NoSpacing"/>
        <w:rPr>
          <w:rFonts w:ascii="Arial" w:hAnsi="Arial" w:cs="Arial"/>
          <w:sz w:val="22"/>
          <w:szCs w:val="22"/>
        </w:rPr>
      </w:pPr>
      <w:r w:rsidRPr="00543579">
        <w:rPr>
          <w:rFonts w:ascii="Arial" w:hAnsi="Arial" w:cs="Arial"/>
          <w:bCs/>
          <w:sz w:val="22"/>
          <w:szCs w:val="22"/>
        </w:rPr>
        <w:t xml:space="preserve">The commitment </w:t>
      </w:r>
      <w:r w:rsidR="00543579" w:rsidRPr="00543579">
        <w:rPr>
          <w:rFonts w:ascii="Arial" w:hAnsi="Arial" w:cs="Arial"/>
          <w:bCs/>
          <w:sz w:val="22"/>
          <w:szCs w:val="22"/>
        </w:rPr>
        <w:t xml:space="preserve">plans to </w:t>
      </w:r>
      <w:r w:rsidRPr="00543579">
        <w:rPr>
          <w:rFonts w:ascii="Arial" w:hAnsi="Arial" w:cs="Arial"/>
          <w:bCs/>
          <w:sz w:val="22"/>
          <w:szCs w:val="22"/>
        </w:rPr>
        <w:t xml:space="preserve">ensure </w:t>
      </w:r>
      <w:r w:rsidR="00543579" w:rsidRPr="00543579">
        <w:rPr>
          <w:rFonts w:ascii="Arial" w:hAnsi="Arial" w:cs="Arial"/>
          <w:bCs/>
          <w:sz w:val="22"/>
          <w:szCs w:val="22"/>
        </w:rPr>
        <w:t xml:space="preserve">by 2018 </w:t>
      </w:r>
      <w:r w:rsidRPr="00543579">
        <w:rPr>
          <w:rFonts w:ascii="Arial" w:hAnsi="Arial" w:cs="Arial"/>
          <w:bCs/>
          <w:sz w:val="22"/>
          <w:szCs w:val="22"/>
        </w:rPr>
        <w:t xml:space="preserve">the </w:t>
      </w:r>
      <w:r w:rsidRPr="00543579">
        <w:rPr>
          <w:rFonts w:ascii="Arial" w:hAnsi="Arial" w:cs="Arial"/>
          <w:sz w:val="22"/>
          <w:szCs w:val="22"/>
        </w:rPr>
        <w:t>elaboration of an annual report on tax expenditures that would be presented with the annual budget documentation submitted to the parliament.</w:t>
      </w:r>
      <w:r w:rsidR="00543579" w:rsidRPr="00543579">
        <w:rPr>
          <w:rFonts w:ascii="Arial" w:hAnsi="Arial" w:cs="Arial"/>
          <w:sz w:val="22"/>
          <w:szCs w:val="22"/>
        </w:rPr>
        <w:t xml:space="preserve"> The responsibility lays on the Ministry of Finance. </w:t>
      </w:r>
    </w:p>
    <w:p w14:paraId="57F40E7F" w14:textId="77777777" w:rsidR="003F30E2" w:rsidRPr="00543579" w:rsidRDefault="003F30E2" w:rsidP="003F30E2">
      <w:pPr>
        <w:pStyle w:val="NoSpacing"/>
        <w:rPr>
          <w:rFonts w:ascii="Arial" w:hAnsi="Arial" w:cs="Arial"/>
          <w:sz w:val="22"/>
          <w:szCs w:val="22"/>
        </w:rPr>
      </w:pPr>
    </w:p>
    <w:p w14:paraId="5B175293" w14:textId="6A83C482" w:rsidR="006C3B87" w:rsidRPr="00543579" w:rsidRDefault="006C3B87" w:rsidP="00C16AA1">
      <w:pPr>
        <w:rPr>
          <w:rFonts w:ascii="Arial" w:hAnsi="Arial" w:cs="Arial"/>
          <w:sz w:val="22"/>
          <w:szCs w:val="22"/>
          <w:lang w:eastAsia="en-US"/>
        </w:rPr>
      </w:pPr>
      <w:r w:rsidRPr="00543579">
        <w:rPr>
          <w:rFonts w:ascii="Arial" w:hAnsi="Arial" w:cs="Arial"/>
          <w:sz w:val="22"/>
          <w:szCs w:val="22"/>
          <w:lang w:eastAsia="en-US"/>
        </w:rPr>
        <w:t>In order to obtain the most value from th</w:t>
      </w:r>
      <w:r w:rsidR="00C16AA1" w:rsidRPr="00543579">
        <w:rPr>
          <w:rFonts w:ascii="Arial" w:hAnsi="Arial" w:cs="Arial"/>
          <w:sz w:val="22"/>
          <w:szCs w:val="22"/>
          <w:lang w:eastAsia="en-US"/>
        </w:rPr>
        <w:t>is commitments</w:t>
      </w:r>
      <w:r w:rsidRPr="00543579">
        <w:rPr>
          <w:rFonts w:ascii="Arial" w:hAnsi="Arial" w:cs="Arial"/>
          <w:sz w:val="22"/>
          <w:szCs w:val="22"/>
          <w:lang w:eastAsia="en-US"/>
        </w:rPr>
        <w:t>, and also to introduce an important element of public engagement from its current extremely low level, it is suggested that</w:t>
      </w:r>
      <w:r w:rsidR="00543579" w:rsidRPr="00543579">
        <w:rPr>
          <w:rFonts w:ascii="Arial" w:hAnsi="Arial" w:cs="Arial"/>
          <w:sz w:val="22"/>
          <w:szCs w:val="22"/>
          <w:lang w:eastAsia="en-US"/>
        </w:rPr>
        <w:t xml:space="preserve"> the </w:t>
      </w:r>
      <w:r w:rsidRPr="00543579">
        <w:rPr>
          <w:rFonts w:ascii="Arial" w:hAnsi="Arial" w:cs="Arial"/>
          <w:sz w:val="22"/>
          <w:szCs w:val="22"/>
        </w:rPr>
        <w:t>MOF consult</w:t>
      </w:r>
      <w:r w:rsidR="00543579" w:rsidRPr="00543579">
        <w:rPr>
          <w:rFonts w:ascii="Arial" w:hAnsi="Arial" w:cs="Arial"/>
          <w:sz w:val="22"/>
          <w:szCs w:val="22"/>
        </w:rPr>
        <w:t>s</w:t>
      </w:r>
      <w:r w:rsidRPr="00543579">
        <w:rPr>
          <w:rFonts w:ascii="Arial" w:hAnsi="Arial" w:cs="Arial"/>
          <w:sz w:val="22"/>
          <w:szCs w:val="22"/>
        </w:rPr>
        <w:t xml:space="preserve"> first with </w:t>
      </w:r>
      <w:r w:rsidR="00C16AA1" w:rsidRPr="00543579">
        <w:rPr>
          <w:rFonts w:ascii="Arial" w:hAnsi="Arial" w:cs="Arial"/>
          <w:sz w:val="22"/>
          <w:szCs w:val="22"/>
        </w:rPr>
        <w:t>independent experts and e</w:t>
      </w:r>
      <w:r w:rsidRPr="00543579">
        <w:rPr>
          <w:rFonts w:ascii="Arial" w:hAnsi="Arial" w:cs="Arial"/>
          <w:sz w:val="22"/>
          <w:szCs w:val="22"/>
        </w:rPr>
        <w:t>ngage</w:t>
      </w:r>
      <w:r w:rsidR="00C16AA1" w:rsidRPr="00543579">
        <w:rPr>
          <w:rFonts w:ascii="Arial" w:hAnsi="Arial" w:cs="Arial"/>
          <w:sz w:val="22"/>
          <w:szCs w:val="22"/>
        </w:rPr>
        <w:t xml:space="preserve">s in a technical discussion that takes as reference similar assessments in </w:t>
      </w:r>
      <w:r w:rsidR="00543579" w:rsidRPr="00543579">
        <w:rPr>
          <w:rFonts w:ascii="Arial" w:hAnsi="Arial" w:cs="Arial"/>
          <w:sz w:val="22"/>
          <w:szCs w:val="22"/>
        </w:rPr>
        <w:t xml:space="preserve">comparable </w:t>
      </w:r>
      <w:r w:rsidR="00C16AA1" w:rsidRPr="00543579">
        <w:rPr>
          <w:rFonts w:ascii="Arial" w:hAnsi="Arial" w:cs="Arial"/>
          <w:sz w:val="22"/>
          <w:szCs w:val="22"/>
        </w:rPr>
        <w:t xml:space="preserve">countries. </w:t>
      </w:r>
      <w:r w:rsidRPr="00543579">
        <w:rPr>
          <w:rFonts w:ascii="Arial" w:hAnsi="Arial" w:cs="Arial"/>
          <w:sz w:val="22"/>
          <w:szCs w:val="22"/>
        </w:rPr>
        <w:t xml:space="preserve"> </w:t>
      </w:r>
    </w:p>
    <w:p w14:paraId="79093BF3" w14:textId="77777777" w:rsidR="006C3B87" w:rsidRPr="00543579" w:rsidRDefault="006C3B87" w:rsidP="006C3B87">
      <w:pPr>
        <w:rPr>
          <w:rFonts w:ascii="Arial" w:hAnsi="Arial" w:cs="Arial"/>
          <w:sz w:val="22"/>
          <w:szCs w:val="22"/>
          <w:lang w:eastAsia="en-US"/>
        </w:rPr>
      </w:pPr>
    </w:p>
    <w:p w14:paraId="724DC83E" w14:textId="77777777" w:rsidR="006C3B87" w:rsidRPr="00543579" w:rsidRDefault="006C3B87" w:rsidP="006C3B87">
      <w:pPr>
        <w:rPr>
          <w:rFonts w:ascii="Arial" w:hAnsi="Arial" w:cs="Arial"/>
          <w:b/>
          <w:sz w:val="22"/>
          <w:szCs w:val="22"/>
          <w:lang w:eastAsia="en-US"/>
        </w:rPr>
      </w:pPr>
      <w:r w:rsidRPr="00543579">
        <w:rPr>
          <w:rFonts w:ascii="Arial" w:hAnsi="Arial" w:cs="Arial"/>
          <w:b/>
          <w:sz w:val="22"/>
          <w:szCs w:val="22"/>
          <w:lang w:eastAsia="en-US"/>
        </w:rPr>
        <w:t>Additional commitments for consideration</w:t>
      </w:r>
    </w:p>
    <w:p w14:paraId="2D07F32D" w14:textId="77777777" w:rsidR="006C3B87" w:rsidRPr="00543579" w:rsidRDefault="006C3B87" w:rsidP="006C3B87">
      <w:pPr>
        <w:rPr>
          <w:rFonts w:ascii="Arial" w:hAnsi="Arial" w:cs="Arial"/>
          <w:b/>
          <w:sz w:val="22"/>
          <w:szCs w:val="22"/>
          <w:lang w:eastAsia="en-US"/>
        </w:rPr>
      </w:pPr>
    </w:p>
    <w:p w14:paraId="470154F9" w14:textId="77777777" w:rsidR="00543579" w:rsidRDefault="00543579" w:rsidP="006C3B87">
      <w:pPr>
        <w:rPr>
          <w:rFonts w:ascii="Arial" w:hAnsi="Arial" w:cs="Arial"/>
          <w:sz w:val="22"/>
          <w:szCs w:val="22"/>
          <w:lang w:eastAsia="en-US"/>
        </w:rPr>
      </w:pPr>
      <w:r>
        <w:rPr>
          <w:rFonts w:ascii="Arial" w:hAnsi="Arial" w:cs="Arial"/>
          <w:sz w:val="22"/>
          <w:szCs w:val="22"/>
          <w:lang w:eastAsia="en-US"/>
        </w:rPr>
        <w:t xml:space="preserve">Tunisia is a steward of the Global Initiative for Fiscal Transparency and we believe that more actions in this field could be undertaken. </w:t>
      </w:r>
    </w:p>
    <w:p w14:paraId="56F27BE4" w14:textId="77777777" w:rsidR="00543579" w:rsidRDefault="00543579" w:rsidP="006C3B87">
      <w:pPr>
        <w:rPr>
          <w:rFonts w:ascii="Arial" w:hAnsi="Arial" w:cs="Arial"/>
          <w:sz w:val="22"/>
          <w:szCs w:val="22"/>
          <w:lang w:eastAsia="en-US"/>
        </w:rPr>
      </w:pPr>
    </w:p>
    <w:p w14:paraId="2508DA8B" w14:textId="270B1FB9" w:rsidR="006C3B87" w:rsidRPr="00543579" w:rsidRDefault="00543579" w:rsidP="006C3B87">
      <w:pPr>
        <w:rPr>
          <w:rFonts w:ascii="Arial" w:hAnsi="Arial" w:cs="Arial"/>
          <w:sz w:val="22"/>
          <w:szCs w:val="22"/>
          <w:lang w:eastAsia="en-US"/>
        </w:rPr>
      </w:pPr>
      <w:r>
        <w:rPr>
          <w:rFonts w:ascii="Arial" w:hAnsi="Arial" w:cs="Arial"/>
          <w:sz w:val="22"/>
          <w:szCs w:val="22"/>
          <w:lang w:eastAsia="en-US"/>
        </w:rPr>
        <w:t xml:space="preserve">This explains that the FOWG proposes </w:t>
      </w:r>
      <w:r w:rsidR="006C3B87" w:rsidRPr="00543579">
        <w:rPr>
          <w:rFonts w:ascii="Arial" w:hAnsi="Arial" w:cs="Arial"/>
          <w:sz w:val="22"/>
          <w:szCs w:val="22"/>
          <w:lang w:eastAsia="en-US"/>
        </w:rPr>
        <w:t>three further initiatives for consideration, that would build directly on commitments in the current draft Action Plan and greatly increase their impact. Initial work on these commitments could be added to the second action plan, with further development of them in the subsequent action plan. The three commitments are:</w:t>
      </w:r>
    </w:p>
    <w:p w14:paraId="5FB4CE20" w14:textId="2E374F16" w:rsidR="006C3B87" w:rsidRPr="00543579" w:rsidRDefault="006C3B87" w:rsidP="006C3B87">
      <w:pPr>
        <w:pStyle w:val="ListParagraph"/>
        <w:numPr>
          <w:ilvl w:val="0"/>
          <w:numId w:val="11"/>
        </w:numPr>
        <w:contextualSpacing w:val="0"/>
        <w:rPr>
          <w:rFonts w:ascii="Arial" w:hAnsi="Arial" w:cs="Arial"/>
          <w:sz w:val="22"/>
          <w:szCs w:val="22"/>
        </w:rPr>
      </w:pPr>
      <w:r w:rsidRPr="00543579">
        <w:rPr>
          <w:rFonts w:ascii="Arial" w:hAnsi="Arial" w:cs="Arial"/>
          <w:i/>
          <w:color w:val="000000" w:themeColor="text1"/>
          <w:sz w:val="22"/>
          <w:szCs w:val="22"/>
        </w:rPr>
        <w:t>I</w:t>
      </w:r>
      <w:r w:rsidRPr="00543579">
        <w:rPr>
          <w:rFonts w:ascii="Arial" w:hAnsi="Arial" w:cs="Arial"/>
          <w:i/>
          <w:sz w:val="22"/>
          <w:szCs w:val="22"/>
        </w:rPr>
        <w:t>ntroduce a fiscal transparency portal</w:t>
      </w:r>
      <w:r w:rsidRPr="00543579">
        <w:rPr>
          <w:rFonts w:ascii="Arial" w:hAnsi="Arial" w:cs="Arial"/>
          <w:sz w:val="22"/>
          <w:szCs w:val="22"/>
        </w:rPr>
        <w:t xml:space="preserve">. Portals are collections of freely available data and tools that also provide visualizations, data dashboards, tables, charts, and maps, and access to all the underlying data. An interactive fiscal data portal would facilitate access by citizens to the additional fiscal data that will be published as a result of the commitments in </w:t>
      </w:r>
      <w:r w:rsidR="00543579">
        <w:rPr>
          <w:rFonts w:ascii="Arial" w:hAnsi="Arial" w:cs="Arial"/>
          <w:sz w:val="22"/>
          <w:szCs w:val="22"/>
        </w:rPr>
        <w:t>Tunisia</w:t>
      </w:r>
      <w:r w:rsidRPr="00543579">
        <w:rPr>
          <w:rFonts w:ascii="Arial" w:hAnsi="Arial" w:cs="Arial"/>
          <w:sz w:val="22"/>
          <w:szCs w:val="22"/>
        </w:rPr>
        <w:t>’s draft second action plan. In recent years a number of countries have introduced fiscal transparency portals (Brazil, Mexico, Peru, France, etc.), and GIFT has been actively supporting peer networking through a number of activities of the FOWG</w:t>
      </w:r>
      <w:r w:rsidR="00093E70">
        <w:rPr>
          <w:rFonts w:ascii="Arial" w:hAnsi="Arial" w:cs="Arial"/>
          <w:sz w:val="22"/>
          <w:szCs w:val="22"/>
        </w:rPr>
        <w:t xml:space="preserve"> </w:t>
      </w:r>
      <w:hyperlink r:id="rId8" w:history="1">
        <w:r w:rsidR="00093E70" w:rsidRPr="00093E70">
          <w:rPr>
            <w:rStyle w:val="Hyperlink"/>
            <w:rFonts w:ascii="Arial" w:hAnsi="Arial" w:cs="Arial"/>
            <w:sz w:val="22"/>
            <w:szCs w:val="22"/>
          </w:rPr>
          <w:t>(here).</w:t>
        </w:r>
      </w:hyperlink>
    </w:p>
    <w:p w14:paraId="36549457" w14:textId="58F13DA3" w:rsidR="006C3B87" w:rsidRPr="00543579" w:rsidRDefault="006C3B87" w:rsidP="006C3B87">
      <w:pPr>
        <w:pStyle w:val="ListParagraph"/>
        <w:numPr>
          <w:ilvl w:val="0"/>
          <w:numId w:val="11"/>
        </w:numPr>
        <w:contextualSpacing w:val="0"/>
        <w:rPr>
          <w:rFonts w:ascii="Arial" w:hAnsi="Arial" w:cs="Arial"/>
          <w:sz w:val="22"/>
          <w:szCs w:val="22"/>
        </w:rPr>
      </w:pPr>
      <w:r w:rsidRPr="00543579">
        <w:rPr>
          <w:rFonts w:ascii="Arial" w:hAnsi="Arial" w:cs="Arial"/>
          <w:i/>
          <w:sz w:val="22"/>
          <w:szCs w:val="22"/>
        </w:rPr>
        <w:t>Introduce the Open Fiscal Data Package, composed by the World Bank BOOST tool for public expenditure analysis with Open Knowledge visualizations</w:t>
      </w:r>
      <w:r w:rsidR="00093E70">
        <w:rPr>
          <w:rFonts w:ascii="Arial" w:hAnsi="Arial" w:cs="Arial"/>
          <w:i/>
          <w:sz w:val="22"/>
          <w:szCs w:val="22"/>
        </w:rPr>
        <w:t xml:space="preserve">. </w:t>
      </w:r>
      <w:hyperlink r:id="rId9" w:history="1">
        <w:r w:rsidR="00093E70" w:rsidRPr="00093E70">
          <w:rPr>
            <w:rStyle w:val="Hyperlink"/>
            <w:rFonts w:ascii="Arial" w:hAnsi="Arial" w:cs="Arial"/>
            <w:i/>
            <w:sz w:val="22"/>
            <w:szCs w:val="22"/>
          </w:rPr>
          <w:t>(Here)</w:t>
        </w:r>
      </w:hyperlink>
      <w:r w:rsidR="00093E70" w:rsidRPr="00543579">
        <w:rPr>
          <w:rFonts w:ascii="Arial" w:hAnsi="Arial" w:cs="Arial"/>
          <w:color w:val="00000A"/>
          <w:sz w:val="22"/>
          <w:szCs w:val="22"/>
        </w:rPr>
        <w:t xml:space="preserve"> </w:t>
      </w:r>
      <w:r w:rsidRPr="00543579">
        <w:rPr>
          <w:rFonts w:ascii="Arial" w:hAnsi="Arial" w:cs="Arial"/>
          <w:color w:val="00000A"/>
          <w:sz w:val="22"/>
          <w:szCs w:val="22"/>
        </w:rPr>
        <w:t xml:space="preserve">This tool </w:t>
      </w:r>
      <w:r w:rsidRPr="00543579">
        <w:rPr>
          <w:rFonts w:ascii="Arial" w:hAnsi="Arial" w:cs="Arial"/>
          <w:sz w:val="22"/>
          <w:szCs w:val="22"/>
        </w:rPr>
        <w:t>is based on the budget data developed by BOOST (World</w:t>
      </w:r>
      <w:r w:rsidRPr="00543579">
        <w:rPr>
          <w:rFonts w:ascii="Arial" w:hAnsi="Arial" w:cs="Arial"/>
          <w:color w:val="00000A"/>
          <w:sz w:val="22"/>
          <w:szCs w:val="22"/>
        </w:rPr>
        <w:t xml:space="preserve"> Bank –presentation attached-), which now includes information for close to twenty countries, and on the technical specification under development by Open Knowledge. The key benefits of the specification include ensuring budget information publication in a high-quality open data format; reliability of the published budget information disclosed; c</w:t>
      </w:r>
      <w:r w:rsidRPr="00543579">
        <w:rPr>
          <w:rFonts w:ascii="Arial" w:hAnsi="Arial" w:cs="Arial"/>
          <w:sz w:val="22"/>
          <w:szCs w:val="22"/>
        </w:rPr>
        <w:t xml:space="preserve">omparability of the data, both between different periods and between national, sub-national and international data. </w:t>
      </w:r>
      <w:r w:rsidR="00C20F72">
        <w:rPr>
          <w:rFonts w:ascii="Arial" w:hAnsi="Arial" w:cs="Arial"/>
          <w:sz w:val="22"/>
          <w:szCs w:val="22"/>
        </w:rPr>
        <w:t>The first pilot of the tool has been tested by Mexico and will be published in September.</w:t>
      </w:r>
    </w:p>
    <w:p w14:paraId="65CBAAF7" w14:textId="3DFA1009" w:rsidR="006C3B87" w:rsidRPr="00543579" w:rsidRDefault="006C3B87" w:rsidP="006C3B87">
      <w:pPr>
        <w:pStyle w:val="ListParagraph"/>
        <w:numPr>
          <w:ilvl w:val="0"/>
          <w:numId w:val="11"/>
        </w:numPr>
        <w:contextualSpacing w:val="0"/>
        <w:rPr>
          <w:rFonts w:ascii="Arial" w:hAnsi="Arial" w:cs="Arial"/>
          <w:sz w:val="22"/>
          <w:szCs w:val="22"/>
        </w:rPr>
      </w:pPr>
      <w:r w:rsidRPr="00543579">
        <w:rPr>
          <w:rFonts w:ascii="Arial" w:hAnsi="Arial" w:cs="Arial"/>
          <w:i/>
          <w:sz w:val="22"/>
          <w:szCs w:val="22"/>
        </w:rPr>
        <w:t>Consider open contracting standards</w:t>
      </w:r>
      <w:r w:rsidR="00093E70">
        <w:rPr>
          <w:rFonts w:ascii="Arial" w:hAnsi="Arial" w:cs="Arial"/>
          <w:sz w:val="22"/>
          <w:szCs w:val="22"/>
        </w:rPr>
        <w:t xml:space="preserve">: </w:t>
      </w:r>
      <w:proofErr w:type="gramStart"/>
      <w:r w:rsidRPr="00543579">
        <w:rPr>
          <w:rFonts w:ascii="Arial" w:hAnsi="Arial" w:cs="Arial"/>
          <w:sz w:val="22"/>
          <w:szCs w:val="22"/>
        </w:rPr>
        <w:t>the</w:t>
      </w:r>
      <w:proofErr w:type="gramEnd"/>
      <w:r w:rsidRPr="00543579">
        <w:rPr>
          <w:rFonts w:ascii="Arial" w:hAnsi="Arial" w:cs="Arial"/>
          <w:sz w:val="22"/>
          <w:szCs w:val="22"/>
        </w:rPr>
        <w:t xml:space="preserve"> Open Contracting Partnership is an international initiative to increase transparency and integrity in public procurement. It has three main elements: making procurement contracts open by default; providing procurement data in machine readable and reusable open data format; and creating opportunities for direct public participation across the procurement cycle. Open contracting would extend the initiatives in </w:t>
      </w:r>
      <w:r w:rsidR="003B0F09">
        <w:rPr>
          <w:rFonts w:ascii="Arial" w:hAnsi="Arial" w:cs="Arial"/>
          <w:sz w:val="22"/>
          <w:szCs w:val="22"/>
        </w:rPr>
        <w:t>Tunisia</w:t>
      </w:r>
      <w:r w:rsidRPr="00543579">
        <w:rPr>
          <w:rFonts w:ascii="Arial" w:hAnsi="Arial" w:cs="Arial"/>
          <w:sz w:val="22"/>
          <w:szCs w:val="22"/>
        </w:rPr>
        <w:t>’s commitments, potentially across all of government procurement.</w:t>
      </w:r>
      <w:r w:rsidR="00093E70">
        <w:rPr>
          <w:rFonts w:ascii="Arial" w:hAnsi="Arial" w:cs="Arial"/>
          <w:sz w:val="22"/>
          <w:szCs w:val="22"/>
        </w:rPr>
        <w:t xml:space="preserve"> </w:t>
      </w:r>
      <w:hyperlink r:id="rId10" w:history="1">
        <w:r w:rsidR="00093E70" w:rsidRPr="00093E70">
          <w:rPr>
            <w:rStyle w:val="Hyperlink"/>
            <w:rFonts w:ascii="Arial" w:hAnsi="Arial" w:cs="Arial"/>
            <w:sz w:val="22"/>
            <w:szCs w:val="22"/>
          </w:rPr>
          <w:t>(Here)</w:t>
        </w:r>
      </w:hyperlink>
    </w:p>
    <w:p w14:paraId="516AAC02" w14:textId="77777777" w:rsidR="006C3B87" w:rsidRPr="00543579" w:rsidRDefault="006C3B87" w:rsidP="006C3B87">
      <w:pPr>
        <w:rPr>
          <w:rFonts w:ascii="Arial" w:hAnsi="Arial" w:cs="Arial"/>
          <w:sz w:val="22"/>
          <w:szCs w:val="22"/>
          <w:lang w:eastAsia="en-US"/>
        </w:rPr>
      </w:pPr>
    </w:p>
    <w:p w14:paraId="0455A03F" w14:textId="77777777" w:rsidR="006C3B87" w:rsidRPr="00543579" w:rsidRDefault="006C3B87" w:rsidP="006C3B87">
      <w:pPr>
        <w:rPr>
          <w:rFonts w:ascii="Arial" w:hAnsi="Arial" w:cs="Arial"/>
          <w:sz w:val="22"/>
          <w:szCs w:val="22"/>
          <w:lang w:eastAsia="en-US"/>
        </w:rPr>
      </w:pPr>
    </w:p>
    <w:p w14:paraId="63FBCD1E" w14:textId="1229ED60" w:rsidR="00447C5F" w:rsidRPr="00543579" w:rsidRDefault="00447C5F" w:rsidP="008C5BCC">
      <w:pPr>
        <w:pStyle w:val="NoSpacing"/>
        <w:rPr>
          <w:rFonts w:ascii="Arial" w:hAnsi="Arial" w:cs="Arial"/>
          <w:sz w:val="22"/>
          <w:szCs w:val="22"/>
        </w:rPr>
      </w:pPr>
    </w:p>
    <w:sectPr w:rsidR="00447C5F" w:rsidRPr="00543579" w:rsidSect="00AD1A21">
      <w:headerReference w:type="default" r:id="rId11"/>
      <w:footerReference w:type="even" r:id="rId12"/>
      <w:footerReference w:type="default" r:id="rId13"/>
      <w:pgSz w:w="12240" w:h="15840"/>
      <w:pgMar w:top="1588" w:right="1361" w:bottom="1361" w:left="1361"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1EC71" w14:textId="77777777" w:rsidR="000B77A2" w:rsidRDefault="000B77A2" w:rsidP="002352EB">
      <w:r>
        <w:separator/>
      </w:r>
    </w:p>
  </w:endnote>
  <w:endnote w:type="continuationSeparator" w:id="0">
    <w:p w14:paraId="51467C66" w14:textId="77777777" w:rsidR="000B77A2" w:rsidRDefault="000B77A2" w:rsidP="0023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ＭＳ 明朝">
    <w:charset w:val="80"/>
    <w:family w:val="auto"/>
    <w:pitch w:val="variable"/>
    <w:sig w:usb0="E00002FF" w:usb1="6AC7FDFB" w:usb2="08000012" w:usb3="00000000" w:csb0="0002009F" w:csb1="00000000"/>
  </w:font>
  <w:font w:name="Lato">
    <w:altName w:val="Times New Roman"/>
    <w:charset w:val="00"/>
    <w:family w:val="auto"/>
    <w:pitch w:val="default"/>
  </w:font>
  <w:font w:name="Minion Pro">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43D2" w14:textId="77777777" w:rsidR="005B1D56" w:rsidRDefault="005B1D56" w:rsidP="00333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BB3B1" w14:textId="77777777" w:rsidR="005B1D56" w:rsidRDefault="005B1D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75DB6" w14:textId="77777777" w:rsidR="005B1D56" w:rsidRPr="00420AD7" w:rsidRDefault="005B1D56">
    <w:pPr>
      <w:pStyle w:val="Footer"/>
      <w:rPr>
        <w:rFonts w:ascii="Arial" w:hAnsi="Arial" w:cs="Arial"/>
        <w:sz w:val="20"/>
      </w:rPr>
    </w:pPr>
    <w:r>
      <w:rPr>
        <w:rFonts w:ascii="Arial" w:hAnsi="Arial" w:cs="Arial"/>
        <w:sz w:val="20"/>
      </w:rPr>
      <w:t>fiscal</w:t>
    </w:r>
    <w:r w:rsidRPr="00420AD7">
      <w:rPr>
        <w:rFonts w:ascii="Arial" w:hAnsi="Arial" w:cs="Arial"/>
        <w:sz w:val="20"/>
      </w:rPr>
      <w:t>transparency.net</w:t>
    </w:r>
    <w:r w:rsidRPr="00420AD7">
      <w:rPr>
        <w:rFonts w:ascii="Arial" w:hAnsi="Arial" w:cs="Arial"/>
        <w:sz w:val="20"/>
      </w:rPr>
      <w:tab/>
    </w:r>
    <w:r>
      <w:rPr>
        <w:rFonts w:ascii="Arial" w:hAnsi="Arial" w:cs="Arial"/>
        <w:sz w:val="20"/>
      </w:rPr>
      <w:tab/>
    </w:r>
    <w:r w:rsidRPr="00420AD7">
      <w:rPr>
        <w:rFonts w:ascii="Arial" w:hAnsi="Arial" w:cs="Arial"/>
        <w:sz w:val="20"/>
      </w:rPr>
      <w:t>@</w:t>
    </w:r>
    <w:proofErr w:type="spellStart"/>
    <w:r w:rsidRPr="00420AD7">
      <w:rPr>
        <w:rFonts w:ascii="Arial" w:hAnsi="Arial" w:cs="Arial"/>
        <w:sz w:val="20"/>
      </w:rPr>
      <w:t>FiscalTrans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D699D" w14:textId="77777777" w:rsidR="000B77A2" w:rsidRDefault="000B77A2" w:rsidP="002352EB">
      <w:r>
        <w:separator/>
      </w:r>
    </w:p>
  </w:footnote>
  <w:footnote w:type="continuationSeparator" w:id="0">
    <w:p w14:paraId="2AA5A7A2" w14:textId="77777777" w:rsidR="000B77A2" w:rsidRDefault="000B77A2" w:rsidP="002352EB">
      <w:r>
        <w:continuationSeparator/>
      </w:r>
    </w:p>
  </w:footnote>
  <w:footnote w:id="1">
    <w:p w14:paraId="361FFA26" w14:textId="50C826D8" w:rsidR="006C3B87" w:rsidRPr="00F76B04" w:rsidRDefault="006C3B87" w:rsidP="006C3B87">
      <w:pPr>
        <w:pStyle w:val="FootnoteText"/>
        <w:rPr>
          <w:rFonts w:ascii="Arial Narrow" w:hAnsi="Arial Narrow"/>
          <w:sz w:val="22"/>
          <w:szCs w:val="22"/>
        </w:rPr>
      </w:pPr>
      <w:r>
        <w:rPr>
          <w:rStyle w:val="FootnoteReference"/>
        </w:rPr>
        <w:footnoteRef/>
      </w:r>
      <w:r>
        <w:t xml:space="preserve"> </w:t>
      </w:r>
      <w:r>
        <w:rPr>
          <w:rFonts w:ascii="Arial Narrow" w:hAnsi="Arial Narrow"/>
          <w:sz w:val="22"/>
          <w:szCs w:val="22"/>
        </w:rPr>
        <w:t xml:space="preserve">The draft is dated </w:t>
      </w:r>
      <w:r w:rsidR="003F30E2">
        <w:rPr>
          <w:rFonts w:ascii="Arial Narrow" w:hAnsi="Arial Narrow"/>
          <w:sz w:val="22"/>
          <w:szCs w:val="22"/>
        </w:rPr>
        <w:t xml:space="preserve">July </w:t>
      </w:r>
      <w:r w:rsidR="003F30E2" w:rsidRPr="00F76B04">
        <w:rPr>
          <w:rFonts w:ascii="Arial Narrow" w:hAnsi="Arial Narrow"/>
          <w:sz w:val="22"/>
          <w:szCs w:val="22"/>
        </w:rPr>
        <w:t>2016</w:t>
      </w:r>
      <w:r w:rsidRPr="00F76B04">
        <w:rPr>
          <w:rFonts w:ascii="Arial Narrow" w:hAnsi="Arial Narrow"/>
          <w:sz w:val="22"/>
          <w:szCs w:val="22"/>
        </w:rPr>
        <w:t xml:space="preserve"> and was provided to GIFT by the OGP S</w:t>
      </w:r>
      <w:r>
        <w:rPr>
          <w:rFonts w:ascii="Arial Narrow" w:hAnsi="Arial Narrow"/>
          <w:sz w:val="22"/>
          <w:szCs w:val="22"/>
        </w:rPr>
        <w:t xml:space="preserve">upport Unit </w:t>
      </w:r>
      <w:r w:rsidRPr="00F76B04">
        <w:rPr>
          <w:rFonts w:ascii="Arial Narrow" w:hAnsi="Arial Narrow"/>
          <w:sz w:val="22"/>
          <w:szCs w:val="22"/>
        </w:rPr>
        <w:t xml:space="preserve">on </w:t>
      </w:r>
      <w:r>
        <w:rPr>
          <w:rFonts w:ascii="Arial Narrow" w:hAnsi="Arial Narrow"/>
          <w:sz w:val="22"/>
          <w:szCs w:val="22"/>
        </w:rPr>
        <w:t xml:space="preserve">August 15, </w:t>
      </w:r>
      <w:r w:rsidRPr="00F76B04">
        <w:rPr>
          <w:rFonts w:ascii="Arial Narrow" w:hAnsi="Arial Narrow"/>
          <w:sz w:val="22"/>
          <w:szCs w:val="22"/>
        </w:rPr>
        <w:t>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12118" w14:textId="2DF43DD0" w:rsidR="005B1D56" w:rsidRDefault="005B1D56">
    <w:pPr>
      <w:pStyle w:val="Header"/>
    </w:pPr>
    <w:r w:rsidRPr="00233FE6">
      <w:rPr>
        <w:rFonts w:eastAsiaTheme="majorEastAsia"/>
        <w:noProof/>
        <w:lang w:eastAsia="en-US"/>
      </w:rPr>
      <w:drawing>
        <wp:anchor distT="0" distB="0" distL="114300" distR="114300" simplePos="0" relativeHeight="251659264" behindDoc="1" locked="0" layoutInCell="1" allowOverlap="1" wp14:anchorId="0E544C4C" wp14:editId="38D8FC2B">
          <wp:simplePos x="0" y="0"/>
          <wp:positionH relativeFrom="column">
            <wp:posOffset>2319020</wp:posOffset>
          </wp:positionH>
          <wp:positionV relativeFrom="paragraph">
            <wp:posOffset>-127000</wp:posOffset>
          </wp:positionV>
          <wp:extent cx="952500" cy="63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952742" cy="63516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569E"/>
    <w:multiLevelType w:val="hybridMultilevel"/>
    <w:tmpl w:val="8F180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F37"/>
    <w:multiLevelType w:val="hybridMultilevel"/>
    <w:tmpl w:val="B58C2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238A5"/>
    <w:multiLevelType w:val="hybridMultilevel"/>
    <w:tmpl w:val="24540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D1B33"/>
    <w:multiLevelType w:val="hybridMultilevel"/>
    <w:tmpl w:val="751641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91868"/>
    <w:multiLevelType w:val="hybridMultilevel"/>
    <w:tmpl w:val="5650BA4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nsid w:val="36B3207D"/>
    <w:multiLevelType w:val="hybridMultilevel"/>
    <w:tmpl w:val="A740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30139F"/>
    <w:multiLevelType w:val="hybridMultilevel"/>
    <w:tmpl w:val="EBE67D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CB578FD"/>
    <w:multiLevelType w:val="hybridMultilevel"/>
    <w:tmpl w:val="88C21C5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9D5067F"/>
    <w:multiLevelType w:val="hybridMultilevel"/>
    <w:tmpl w:val="B1F233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BFC1767"/>
    <w:multiLevelType w:val="hybridMultilevel"/>
    <w:tmpl w:val="09F2C6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14271D1"/>
    <w:multiLevelType w:val="hybridMultilevel"/>
    <w:tmpl w:val="5C2A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11215A"/>
    <w:multiLevelType w:val="hybridMultilevel"/>
    <w:tmpl w:val="C2780E44"/>
    <w:lvl w:ilvl="0" w:tplc="41C44E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D8561E"/>
    <w:multiLevelType w:val="hybridMultilevel"/>
    <w:tmpl w:val="22BCE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0"/>
  </w:num>
  <w:num w:numId="4">
    <w:abstractNumId w:val="3"/>
  </w:num>
  <w:num w:numId="5">
    <w:abstractNumId w:val="5"/>
  </w:num>
  <w:num w:numId="6">
    <w:abstractNumId w:val="1"/>
  </w:num>
  <w:num w:numId="7">
    <w:abstractNumId w:val="12"/>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3E"/>
    <w:rsid w:val="0000048C"/>
    <w:rsid w:val="000021D4"/>
    <w:rsid w:val="000078A3"/>
    <w:rsid w:val="0001190E"/>
    <w:rsid w:val="00013324"/>
    <w:rsid w:val="00023753"/>
    <w:rsid w:val="0003151C"/>
    <w:rsid w:val="00046AEE"/>
    <w:rsid w:val="00057432"/>
    <w:rsid w:val="00082237"/>
    <w:rsid w:val="00093E70"/>
    <w:rsid w:val="000B241C"/>
    <w:rsid w:val="000B3FAA"/>
    <w:rsid w:val="000B77A2"/>
    <w:rsid w:val="000D66DD"/>
    <w:rsid w:val="000D6DC8"/>
    <w:rsid w:val="000E474D"/>
    <w:rsid w:val="000F79A0"/>
    <w:rsid w:val="00107E22"/>
    <w:rsid w:val="00110A4F"/>
    <w:rsid w:val="00164BA9"/>
    <w:rsid w:val="00173F10"/>
    <w:rsid w:val="00192D44"/>
    <w:rsid w:val="00195BCB"/>
    <w:rsid w:val="001C2D6A"/>
    <w:rsid w:val="001D5D43"/>
    <w:rsid w:val="00207838"/>
    <w:rsid w:val="00207C50"/>
    <w:rsid w:val="002148C2"/>
    <w:rsid w:val="002352EB"/>
    <w:rsid w:val="002373AC"/>
    <w:rsid w:val="00285C2B"/>
    <w:rsid w:val="0029184A"/>
    <w:rsid w:val="002A55A4"/>
    <w:rsid w:val="002E7DC2"/>
    <w:rsid w:val="00317FC0"/>
    <w:rsid w:val="00324D45"/>
    <w:rsid w:val="00331E1C"/>
    <w:rsid w:val="00332D0A"/>
    <w:rsid w:val="00333B03"/>
    <w:rsid w:val="0033711E"/>
    <w:rsid w:val="003469DC"/>
    <w:rsid w:val="00352FFD"/>
    <w:rsid w:val="00374189"/>
    <w:rsid w:val="003746F8"/>
    <w:rsid w:val="003A00DE"/>
    <w:rsid w:val="003A1BC8"/>
    <w:rsid w:val="003B0F09"/>
    <w:rsid w:val="003B3A24"/>
    <w:rsid w:val="003F30E2"/>
    <w:rsid w:val="00415B40"/>
    <w:rsid w:val="00420AD7"/>
    <w:rsid w:val="00447C5F"/>
    <w:rsid w:val="0045105E"/>
    <w:rsid w:val="00461522"/>
    <w:rsid w:val="004A51F4"/>
    <w:rsid w:val="004B3405"/>
    <w:rsid w:val="004D1E77"/>
    <w:rsid w:val="004F0EF8"/>
    <w:rsid w:val="004F7ABC"/>
    <w:rsid w:val="00527E7D"/>
    <w:rsid w:val="005300A8"/>
    <w:rsid w:val="00543579"/>
    <w:rsid w:val="00557CCB"/>
    <w:rsid w:val="00593400"/>
    <w:rsid w:val="00597EF1"/>
    <w:rsid w:val="005B1D56"/>
    <w:rsid w:val="005C468F"/>
    <w:rsid w:val="005E6D5E"/>
    <w:rsid w:val="0061653B"/>
    <w:rsid w:val="006229DD"/>
    <w:rsid w:val="00651E9B"/>
    <w:rsid w:val="00673E8D"/>
    <w:rsid w:val="006C3B87"/>
    <w:rsid w:val="006E0A04"/>
    <w:rsid w:val="007A5EDA"/>
    <w:rsid w:val="007B73D8"/>
    <w:rsid w:val="007C760D"/>
    <w:rsid w:val="007E214F"/>
    <w:rsid w:val="007E2F1F"/>
    <w:rsid w:val="007F3C3A"/>
    <w:rsid w:val="00801632"/>
    <w:rsid w:val="008107A6"/>
    <w:rsid w:val="008224B3"/>
    <w:rsid w:val="00832583"/>
    <w:rsid w:val="0084279C"/>
    <w:rsid w:val="008735AC"/>
    <w:rsid w:val="00876ADF"/>
    <w:rsid w:val="0087727C"/>
    <w:rsid w:val="008B78C4"/>
    <w:rsid w:val="008C5BCC"/>
    <w:rsid w:val="008F2702"/>
    <w:rsid w:val="008F592E"/>
    <w:rsid w:val="008F79AE"/>
    <w:rsid w:val="00953B3E"/>
    <w:rsid w:val="00974DA5"/>
    <w:rsid w:val="00983017"/>
    <w:rsid w:val="009B3279"/>
    <w:rsid w:val="009C2EEA"/>
    <w:rsid w:val="009C3299"/>
    <w:rsid w:val="00A43EC7"/>
    <w:rsid w:val="00A50A0C"/>
    <w:rsid w:val="00A50C8F"/>
    <w:rsid w:val="00A91253"/>
    <w:rsid w:val="00AA213C"/>
    <w:rsid w:val="00AA4797"/>
    <w:rsid w:val="00AC1BF3"/>
    <w:rsid w:val="00AD1A21"/>
    <w:rsid w:val="00AF0A00"/>
    <w:rsid w:val="00B30A36"/>
    <w:rsid w:val="00B36704"/>
    <w:rsid w:val="00B62E3F"/>
    <w:rsid w:val="00B8346F"/>
    <w:rsid w:val="00BB5303"/>
    <w:rsid w:val="00C16AA1"/>
    <w:rsid w:val="00C20F72"/>
    <w:rsid w:val="00C447A9"/>
    <w:rsid w:val="00C6537E"/>
    <w:rsid w:val="00C817E0"/>
    <w:rsid w:val="00CC17F6"/>
    <w:rsid w:val="00CD3BDD"/>
    <w:rsid w:val="00CF57EA"/>
    <w:rsid w:val="00D0387B"/>
    <w:rsid w:val="00D26841"/>
    <w:rsid w:val="00D366DB"/>
    <w:rsid w:val="00DA353E"/>
    <w:rsid w:val="00DF6E9E"/>
    <w:rsid w:val="00E354BE"/>
    <w:rsid w:val="00E666BB"/>
    <w:rsid w:val="00E67EE7"/>
    <w:rsid w:val="00E80FA6"/>
    <w:rsid w:val="00EC41E0"/>
    <w:rsid w:val="00EC7858"/>
    <w:rsid w:val="00F56496"/>
    <w:rsid w:val="00F756D8"/>
    <w:rsid w:val="00F869AE"/>
    <w:rsid w:val="00F9605A"/>
    <w:rsid w:val="00FE76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B5CD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2D6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2EB"/>
    <w:pPr>
      <w:tabs>
        <w:tab w:val="center" w:pos="4320"/>
        <w:tab w:val="right" w:pos="8640"/>
      </w:tabs>
    </w:pPr>
  </w:style>
  <w:style w:type="character" w:customStyle="1" w:styleId="HeaderChar">
    <w:name w:val="Header Char"/>
    <w:link w:val="Header"/>
    <w:uiPriority w:val="99"/>
    <w:rsid w:val="002352EB"/>
    <w:rPr>
      <w:sz w:val="24"/>
      <w:szCs w:val="24"/>
    </w:rPr>
  </w:style>
  <w:style w:type="paragraph" w:styleId="Footer">
    <w:name w:val="footer"/>
    <w:basedOn w:val="Normal"/>
    <w:link w:val="FooterChar"/>
    <w:uiPriority w:val="99"/>
    <w:unhideWhenUsed/>
    <w:rsid w:val="002352EB"/>
    <w:pPr>
      <w:tabs>
        <w:tab w:val="center" w:pos="4320"/>
        <w:tab w:val="right" w:pos="8640"/>
      </w:tabs>
    </w:pPr>
  </w:style>
  <w:style w:type="character" w:customStyle="1" w:styleId="FooterChar">
    <w:name w:val="Footer Char"/>
    <w:link w:val="Footer"/>
    <w:uiPriority w:val="99"/>
    <w:rsid w:val="002352EB"/>
    <w:rPr>
      <w:sz w:val="24"/>
      <w:szCs w:val="24"/>
    </w:rPr>
  </w:style>
  <w:style w:type="paragraph" w:styleId="BalloonText">
    <w:name w:val="Balloon Text"/>
    <w:basedOn w:val="Normal"/>
    <w:link w:val="BalloonTextChar"/>
    <w:uiPriority w:val="99"/>
    <w:semiHidden/>
    <w:unhideWhenUsed/>
    <w:rsid w:val="008F7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AE"/>
    <w:rPr>
      <w:rFonts w:ascii="Lucida Grande" w:hAnsi="Lucida Grande" w:cs="Lucida Grande"/>
      <w:sz w:val="18"/>
      <w:szCs w:val="18"/>
      <w:lang w:eastAsia="ja-JP"/>
    </w:rPr>
  </w:style>
  <w:style w:type="paragraph" w:styleId="ListParagraph">
    <w:name w:val="List Paragraph"/>
    <w:basedOn w:val="Normal"/>
    <w:uiPriority w:val="34"/>
    <w:qFormat/>
    <w:rsid w:val="008F79AE"/>
    <w:pPr>
      <w:ind w:left="720"/>
      <w:contextualSpacing/>
    </w:pPr>
    <w:rPr>
      <w:rFonts w:ascii="Times New Roman" w:eastAsia="ヒラギノ角ゴ Pro W3" w:hAnsi="Times New Roman"/>
      <w:color w:val="000000"/>
      <w:lang w:eastAsia="en-US"/>
    </w:rPr>
  </w:style>
  <w:style w:type="paragraph" w:styleId="NoSpacing">
    <w:name w:val="No Spacing"/>
    <w:uiPriority w:val="1"/>
    <w:qFormat/>
    <w:rsid w:val="008F79AE"/>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8F79AE"/>
  </w:style>
  <w:style w:type="character" w:styleId="Hyperlink">
    <w:name w:val="Hyperlink"/>
    <w:basedOn w:val="DefaultParagraphFont"/>
    <w:uiPriority w:val="99"/>
    <w:unhideWhenUsed/>
    <w:rsid w:val="00192D44"/>
    <w:rPr>
      <w:color w:val="0000FF" w:themeColor="hyperlink"/>
      <w:u w:val="single"/>
    </w:rPr>
  </w:style>
  <w:style w:type="paragraph" w:customStyle="1" w:styleId="Normal1">
    <w:name w:val="Normal1"/>
    <w:rsid w:val="000D6DC8"/>
    <w:pPr>
      <w:widowControl w:val="0"/>
      <w:spacing w:line="276" w:lineRule="auto"/>
      <w:contextualSpacing/>
    </w:pPr>
    <w:rPr>
      <w:rFonts w:ascii="Lato" w:eastAsia="Lato" w:hAnsi="Lato" w:cs="Lato"/>
      <w:color w:val="000000"/>
      <w:sz w:val="22"/>
    </w:rPr>
  </w:style>
  <w:style w:type="character" w:styleId="FollowedHyperlink">
    <w:name w:val="FollowedHyperlink"/>
    <w:basedOn w:val="DefaultParagraphFont"/>
    <w:uiPriority w:val="99"/>
    <w:semiHidden/>
    <w:unhideWhenUsed/>
    <w:rsid w:val="00207C50"/>
    <w:rPr>
      <w:color w:val="800080" w:themeColor="followedHyperlink"/>
      <w:u w:val="single"/>
    </w:rPr>
  </w:style>
  <w:style w:type="paragraph" w:customStyle="1" w:styleId="Pa2">
    <w:name w:val="Pa2"/>
    <w:basedOn w:val="Normal"/>
    <w:next w:val="Normal"/>
    <w:uiPriority w:val="99"/>
    <w:rsid w:val="009C3299"/>
    <w:pPr>
      <w:widowControl w:val="0"/>
      <w:autoSpaceDE w:val="0"/>
      <w:autoSpaceDN w:val="0"/>
      <w:adjustRightInd w:val="0"/>
      <w:spacing w:line="241" w:lineRule="atLeast"/>
    </w:pPr>
    <w:rPr>
      <w:rFonts w:ascii="Minion Pro" w:eastAsiaTheme="minorEastAsia" w:hAnsi="Minion Pro"/>
      <w:lang w:eastAsia="en-US"/>
    </w:rPr>
  </w:style>
  <w:style w:type="character" w:customStyle="1" w:styleId="A2">
    <w:name w:val="A2"/>
    <w:uiPriority w:val="99"/>
    <w:rsid w:val="009C3299"/>
    <w:rPr>
      <w:rFonts w:cs="Minion Pro"/>
      <w:color w:val="221E1F"/>
      <w:sz w:val="68"/>
      <w:szCs w:val="68"/>
    </w:rPr>
  </w:style>
  <w:style w:type="paragraph" w:styleId="FootnoteText">
    <w:name w:val="footnote text"/>
    <w:basedOn w:val="Normal"/>
    <w:link w:val="FootnoteTextChar"/>
    <w:uiPriority w:val="99"/>
    <w:unhideWhenUsed/>
    <w:rsid w:val="008B78C4"/>
    <w:pPr>
      <w:spacing w:after="240"/>
    </w:pPr>
    <w:rPr>
      <w:rFonts w:ascii="Times New Roman" w:eastAsiaTheme="minorEastAsia" w:hAnsi="Times New Roman"/>
      <w:color w:val="000000"/>
    </w:rPr>
  </w:style>
  <w:style w:type="character" w:customStyle="1" w:styleId="FootnoteTextChar">
    <w:name w:val="Footnote Text Char"/>
    <w:basedOn w:val="DefaultParagraphFont"/>
    <w:link w:val="FootnoteText"/>
    <w:uiPriority w:val="99"/>
    <w:rsid w:val="008B78C4"/>
    <w:rPr>
      <w:rFonts w:ascii="Times New Roman" w:eastAsiaTheme="minorEastAsia" w:hAnsi="Times New Roman"/>
      <w:color w:val="000000"/>
      <w:sz w:val="24"/>
      <w:szCs w:val="24"/>
      <w:lang w:eastAsia="ja-JP"/>
    </w:rPr>
  </w:style>
  <w:style w:type="character" w:styleId="FootnoteReference">
    <w:name w:val="footnote reference"/>
    <w:basedOn w:val="DefaultParagraphFont"/>
    <w:uiPriority w:val="99"/>
    <w:unhideWhenUsed/>
    <w:rsid w:val="008B78C4"/>
    <w:rPr>
      <w:vertAlign w:val="superscript"/>
    </w:rPr>
  </w:style>
  <w:style w:type="character" w:styleId="CommentReference">
    <w:name w:val="annotation reference"/>
    <w:basedOn w:val="DefaultParagraphFont"/>
    <w:uiPriority w:val="99"/>
    <w:semiHidden/>
    <w:unhideWhenUsed/>
    <w:rsid w:val="008224B3"/>
    <w:rPr>
      <w:sz w:val="18"/>
      <w:szCs w:val="18"/>
    </w:rPr>
  </w:style>
  <w:style w:type="paragraph" w:styleId="CommentText">
    <w:name w:val="annotation text"/>
    <w:basedOn w:val="Normal"/>
    <w:link w:val="CommentTextChar"/>
    <w:uiPriority w:val="99"/>
    <w:semiHidden/>
    <w:unhideWhenUsed/>
    <w:rsid w:val="008224B3"/>
  </w:style>
  <w:style w:type="character" w:customStyle="1" w:styleId="CommentTextChar">
    <w:name w:val="Comment Text Char"/>
    <w:basedOn w:val="DefaultParagraphFont"/>
    <w:link w:val="CommentText"/>
    <w:uiPriority w:val="99"/>
    <w:semiHidden/>
    <w:rsid w:val="008224B3"/>
    <w:rPr>
      <w:sz w:val="24"/>
      <w:szCs w:val="24"/>
      <w:lang w:eastAsia="ja-JP"/>
    </w:rPr>
  </w:style>
  <w:style w:type="paragraph" w:styleId="CommentSubject">
    <w:name w:val="annotation subject"/>
    <w:basedOn w:val="CommentText"/>
    <w:next w:val="CommentText"/>
    <w:link w:val="CommentSubjectChar"/>
    <w:uiPriority w:val="99"/>
    <w:semiHidden/>
    <w:unhideWhenUsed/>
    <w:rsid w:val="008224B3"/>
    <w:rPr>
      <w:b/>
      <w:bCs/>
      <w:sz w:val="20"/>
      <w:szCs w:val="20"/>
    </w:rPr>
  </w:style>
  <w:style w:type="character" w:customStyle="1" w:styleId="CommentSubjectChar">
    <w:name w:val="Comment Subject Char"/>
    <w:basedOn w:val="CommentTextChar"/>
    <w:link w:val="CommentSubject"/>
    <w:uiPriority w:val="99"/>
    <w:semiHidden/>
    <w:rsid w:val="008224B3"/>
    <w:rPr>
      <w:b/>
      <w:bC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iscaltransparency.net/giftprinciples/" TargetMode="External"/><Relationship Id="rId8" Type="http://schemas.openxmlformats.org/officeDocument/2006/relationships/hyperlink" Target="http://www.fiscaltransparency.net/fowg/" TargetMode="External"/><Relationship Id="rId9" Type="http://schemas.openxmlformats.org/officeDocument/2006/relationships/hyperlink" Target="http://www.fiscaltransparency.net/presentations/Boost-Massimo_15Dec15.pdf" TargetMode="External"/><Relationship Id="rId10" Type="http://schemas.openxmlformats.org/officeDocument/2006/relationships/hyperlink" Target="http://www.open-contract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5559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Links>
    <vt:vector size="6" baseType="variant">
      <vt:variant>
        <vt:i4>6750291</vt:i4>
      </vt:variant>
      <vt:variant>
        <vt:i4>2111</vt:i4>
      </vt:variant>
      <vt:variant>
        <vt:i4>1025</vt:i4>
      </vt:variant>
      <vt:variant>
        <vt:i4>1</vt:i4>
      </vt:variant>
      <vt:variant>
        <vt:lpwstr>GIFT_logo_FINAL_orange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Guerrero Amparan</dc:creator>
  <cp:keywords/>
  <dc:description/>
  <cp:lastModifiedBy>Juan P. Guerrero Amparán</cp:lastModifiedBy>
  <cp:revision>2</cp:revision>
  <cp:lastPrinted>2015-06-15T15:30:00Z</cp:lastPrinted>
  <dcterms:created xsi:type="dcterms:W3CDTF">2016-08-16T03:10:00Z</dcterms:created>
  <dcterms:modified xsi:type="dcterms:W3CDTF">2016-08-16T03:10:00Z</dcterms:modified>
</cp:coreProperties>
</file>