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62B2" w14:textId="3E06F9D2" w:rsidR="00764A7F" w:rsidRPr="00CA3C8A" w:rsidRDefault="00764A7F" w:rsidP="00764A7F">
      <w:pPr>
        <w:pStyle w:val="Sinespaciado"/>
        <w:jc w:val="center"/>
        <w:rPr>
          <w:rFonts w:ascii="Arial" w:hAnsi="Arial" w:cs="Arial"/>
          <w:b/>
          <w:color w:val="FF3300"/>
          <w:szCs w:val="22"/>
        </w:rPr>
      </w:pPr>
      <w:r w:rsidRPr="00CA3C8A">
        <w:rPr>
          <w:rFonts w:ascii="Arial" w:hAnsi="Arial" w:cs="Arial"/>
          <w:b/>
          <w:color w:val="FF3300"/>
          <w:szCs w:val="22"/>
        </w:rPr>
        <w:t xml:space="preserve">2017 Workplan &amp; Funding Proposal for the </w:t>
      </w:r>
    </w:p>
    <w:p w14:paraId="7251B178" w14:textId="0E27D710" w:rsidR="005C330C" w:rsidRPr="00CA3C8A" w:rsidRDefault="00764A7F" w:rsidP="00764A7F">
      <w:pPr>
        <w:pStyle w:val="Sinespaciado"/>
        <w:jc w:val="center"/>
        <w:rPr>
          <w:rFonts w:ascii="Arial" w:hAnsi="Arial" w:cs="Arial"/>
          <w:color w:val="FF3300"/>
          <w:szCs w:val="22"/>
        </w:rPr>
      </w:pPr>
      <w:r w:rsidRPr="00CA3C8A">
        <w:rPr>
          <w:rFonts w:ascii="Arial" w:hAnsi="Arial" w:cs="Arial"/>
          <w:b/>
          <w:color w:val="FF3300"/>
          <w:szCs w:val="22"/>
        </w:rPr>
        <w:t>Open Government Partnership Fiscal Open</w:t>
      </w:r>
      <w:bookmarkStart w:id="0" w:name="_GoBack"/>
      <w:bookmarkEnd w:id="0"/>
      <w:r w:rsidRPr="00CA3C8A">
        <w:rPr>
          <w:rFonts w:ascii="Arial" w:hAnsi="Arial" w:cs="Arial"/>
          <w:b/>
          <w:color w:val="FF3300"/>
          <w:szCs w:val="22"/>
        </w:rPr>
        <w:t>ness Working Group</w:t>
      </w:r>
    </w:p>
    <w:p w14:paraId="1600AFBE" w14:textId="1923C209" w:rsidR="00764A7F" w:rsidRDefault="00764A7F">
      <w:pPr>
        <w:pStyle w:val="Sinespaciado"/>
        <w:rPr>
          <w:rFonts w:ascii="Arial" w:hAnsi="Arial" w:cs="Arial"/>
          <w:sz w:val="22"/>
          <w:szCs w:val="22"/>
        </w:rPr>
      </w:pPr>
    </w:p>
    <w:p w14:paraId="0BD7A086" w14:textId="3AF5761E" w:rsidR="00CA3C8A" w:rsidRPr="000221AB" w:rsidRDefault="00147EF5">
      <w:pPr>
        <w:pStyle w:val="Sinespaciado"/>
        <w:rPr>
          <w:rFonts w:ascii="Arial" w:hAnsi="Arial" w:cs="Arial"/>
          <w:b/>
          <w:color w:val="FF3300"/>
          <w:sz w:val="22"/>
          <w:szCs w:val="22"/>
        </w:rPr>
      </w:pPr>
      <w:r w:rsidRPr="000221AB">
        <w:rPr>
          <w:rFonts w:ascii="Arial" w:hAnsi="Arial" w:cs="Arial"/>
          <w:b/>
          <w:color w:val="FF3300"/>
          <w:sz w:val="22"/>
          <w:szCs w:val="22"/>
        </w:rPr>
        <w:t>OVERVIEW</w:t>
      </w:r>
    </w:p>
    <w:p w14:paraId="1F152E1E" w14:textId="481BDA1C" w:rsidR="00CA3C8A" w:rsidRDefault="00CA3C8A">
      <w:pPr>
        <w:pStyle w:val="Sinespaciado"/>
        <w:rPr>
          <w:rFonts w:ascii="Arial" w:hAnsi="Arial" w:cs="Arial"/>
          <w:b/>
          <w:color w:val="FF0000"/>
          <w:sz w:val="22"/>
          <w:szCs w:val="22"/>
        </w:rPr>
      </w:pPr>
    </w:p>
    <w:p w14:paraId="6F8B3A1D" w14:textId="37857A63" w:rsidR="00CA3C8A" w:rsidRPr="000221AB" w:rsidRDefault="00CA3C8A">
      <w:pPr>
        <w:pStyle w:val="Sinespaciado"/>
        <w:rPr>
          <w:rFonts w:ascii="Arial" w:hAnsi="Arial" w:cs="Arial"/>
          <w:color w:val="FF3300"/>
          <w:sz w:val="22"/>
          <w:szCs w:val="22"/>
          <w:u w:val="single"/>
        </w:rPr>
      </w:pPr>
      <w:r w:rsidRPr="000221AB">
        <w:rPr>
          <w:rFonts w:ascii="Arial" w:hAnsi="Arial" w:cs="Arial"/>
          <w:color w:val="FF3300"/>
          <w:sz w:val="22"/>
          <w:szCs w:val="22"/>
          <w:u w:val="single"/>
        </w:rPr>
        <w:t>Objectives</w:t>
      </w:r>
    </w:p>
    <w:p w14:paraId="493B1E22" w14:textId="77777777" w:rsidR="00CA3C8A" w:rsidRPr="00231326" w:rsidRDefault="00CA3C8A">
      <w:pPr>
        <w:pStyle w:val="Sinespaciado"/>
        <w:rPr>
          <w:rFonts w:ascii="Arial" w:hAnsi="Arial" w:cs="Arial"/>
          <w:sz w:val="22"/>
          <w:szCs w:val="22"/>
        </w:rPr>
      </w:pPr>
    </w:p>
    <w:p w14:paraId="2E09DCAC" w14:textId="6473A6B5" w:rsidR="005C330C" w:rsidRPr="00231326" w:rsidRDefault="00DF0AD5">
      <w:pPr>
        <w:pStyle w:val="Sinespaciado"/>
        <w:rPr>
          <w:rFonts w:ascii="Arial" w:hAnsi="Arial" w:cs="Arial"/>
          <w:sz w:val="22"/>
          <w:szCs w:val="22"/>
        </w:rPr>
      </w:pPr>
      <w:r w:rsidRPr="00231326">
        <w:rPr>
          <w:rFonts w:ascii="Arial" w:hAnsi="Arial" w:cs="Arial"/>
          <w:sz w:val="22"/>
          <w:szCs w:val="22"/>
        </w:rPr>
        <w:t xml:space="preserve">The </w:t>
      </w:r>
      <w:r w:rsidR="00A43851" w:rsidRPr="00231326">
        <w:rPr>
          <w:rFonts w:ascii="Arial" w:hAnsi="Arial" w:cs="Arial"/>
          <w:sz w:val="22"/>
          <w:szCs w:val="22"/>
        </w:rPr>
        <w:t>Fiscal</w:t>
      </w:r>
      <w:r w:rsidR="00E87404" w:rsidRPr="00231326">
        <w:rPr>
          <w:rFonts w:ascii="Arial" w:hAnsi="Arial" w:cs="Arial"/>
          <w:sz w:val="22"/>
          <w:szCs w:val="22"/>
        </w:rPr>
        <w:t xml:space="preserve"> Openness Working Group (FOWG) </w:t>
      </w:r>
      <w:r w:rsidRPr="00231326">
        <w:rPr>
          <w:rFonts w:ascii="Arial" w:hAnsi="Arial" w:cs="Arial"/>
          <w:sz w:val="22"/>
          <w:szCs w:val="22"/>
        </w:rPr>
        <w:t>aims</w:t>
      </w:r>
      <w:r w:rsidR="00A43851" w:rsidRPr="00231326">
        <w:rPr>
          <w:rFonts w:ascii="Arial" w:hAnsi="Arial" w:cs="Arial"/>
          <w:sz w:val="22"/>
          <w:szCs w:val="22"/>
        </w:rPr>
        <w:t xml:space="preserve"> to support the implementation of the bud</w:t>
      </w:r>
      <w:r w:rsidR="00997E21" w:rsidRPr="00231326">
        <w:rPr>
          <w:rFonts w:ascii="Arial" w:hAnsi="Arial" w:cs="Arial"/>
          <w:sz w:val="22"/>
          <w:szCs w:val="22"/>
        </w:rPr>
        <w:t xml:space="preserve">get transparency </w:t>
      </w:r>
      <w:r w:rsidR="000E7EC6" w:rsidRPr="00231326">
        <w:rPr>
          <w:rFonts w:ascii="Arial" w:hAnsi="Arial" w:cs="Arial"/>
          <w:sz w:val="22"/>
          <w:szCs w:val="22"/>
        </w:rPr>
        <w:t xml:space="preserve">and public participation in fiscal policy </w:t>
      </w:r>
      <w:r w:rsidR="00997E21" w:rsidRPr="00231326">
        <w:rPr>
          <w:rFonts w:ascii="Arial" w:hAnsi="Arial" w:cs="Arial"/>
          <w:sz w:val="22"/>
          <w:szCs w:val="22"/>
        </w:rPr>
        <w:t>commitments of governments that</w:t>
      </w:r>
      <w:r w:rsidR="00E0508D" w:rsidRPr="00231326">
        <w:rPr>
          <w:rFonts w:ascii="Arial" w:hAnsi="Arial" w:cs="Arial"/>
          <w:sz w:val="22"/>
          <w:szCs w:val="22"/>
        </w:rPr>
        <w:t xml:space="preserve"> are members of the </w:t>
      </w:r>
      <w:r w:rsidR="00A43851" w:rsidRPr="00231326">
        <w:rPr>
          <w:rFonts w:ascii="Arial" w:hAnsi="Arial" w:cs="Arial"/>
          <w:sz w:val="22"/>
          <w:szCs w:val="22"/>
        </w:rPr>
        <w:t>Open Go</w:t>
      </w:r>
      <w:r w:rsidR="00E0508D" w:rsidRPr="00231326">
        <w:rPr>
          <w:rFonts w:ascii="Arial" w:hAnsi="Arial" w:cs="Arial"/>
          <w:sz w:val="22"/>
          <w:szCs w:val="22"/>
        </w:rPr>
        <w:t>vernment Partnership</w:t>
      </w:r>
      <w:r w:rsidR="00A43851" w:rsidRPr="00231326">
        <w:rPr>
          <w:rFonts w:ascii="Arial" w:hAnsi="Arial" w:cs="Arial"/>
          <w:sz w:val="22"/>
          <w:szCs w:val="22"/>
        </w:rPr>
        <w:t xml:space="preserve"> (OGP). </w:t>
      </w:r>
      <w:r w:rsidR="00E87404" w:rsidRPr="00231326">
        <w:rPr>
          <w:rFonts w:ascii="Arial" w:hAnsi="Arial" w:cs="Arial"/>
          <w:sz w:val="22"/>
          <w:szCs w:val="22"/>
        </w:rPr>
        <w:t xml:space="preserve">The FOWG, co-anchored by </w:t>
      </w:r>
      <w:r w:rsidR="00A43851" w:rsidRPr="00231326">
        <w:rPr>
          <w:rFonts w:ascii="Arial" w:hAnsi="Arial" w:cs="Arial"/>
          <w:sz w:val="22"/>
          <w:szCs w:val="22"/>
        </w:rPr>
        <w:t xml:space="preserve">GIFT, </w:t>
      </w:r>
      <w:r w:rsidR="00E87404" w:rsidRPr="00231326">
        <w:rPr>
          <w:rFonts w:ascii="Arial" w:hAnsi="Arial" w:cs="Arial"/>
          <w:sz w:val="22"/>
          <w:szCs w:val="22"/>
        </w:rPr>
        <w:t xml:space="preserve">and with </w:t>
      </w:r>
      <w:r w:rsidR="00E0508D" w:rsidRPr="00231326">
        <w:rPr>
          <w:rFonts w:ascii="Arial" w:hAnsi="Arial" w:cs="Arial"/>
          <w:sz w:val="22"/>
          <w:szCs w:val="22"/>
        </w:rPr>
        <w:t xml:space="preserve">the </w:t>
      </w:r>
      <w:r w:rsidR="00E87404" w:rsidRPr="00231326">
        <w:rPr>
          <w:rFonts w:ascii="Arial" w:hAnsi="Arial" w:cs="Arial"/>
          <w:sz w:val="22"/>
          <w:szCs w:val="22"/>
        </w:rPr>
        <w:t xml:space="preserve">support of the OGP Support Unit: </w:t>
      </w:r>
    </w:p>
    <w:p w14:paraId="60AF1D6C" w14:textId="77777777" w:rsidR="00CD3EA7" w:rsidRPr="00231326" w:rsidRDefault="00CD3EA7">
      <w:pPr>
        <w:pStyle w:val="Sinespaciado"/>
        <w:rPr>
          <w:rFonts w:ascii="Arial" w:hAnsi="Arial" w:cs="Arial"/>
          <w:sz w:val="22"/>
          <w:szCs w:val="22"/>
        </w:rPr>
      </w:pPr>
    </w:p>
    <w:p w14:paraId="4B636B21" w14:textId="54F4FBEB" w:rsidR="005C330C" w:rsidRPr="00231326" w:rsidRDefault="00E87404">
      <w:pPr>
        <w:pStyle w:val="Sinespaciado"/>
        <w:numPr>
          <w:ilvl w:val="0"/>
          <w:numId w:val="1"/>
        </w:numPr>
        <w:rPr>
          <w:rFonts w:ascii="Arial" w:hAnsi="Arial" w:cs="Arial"/>
          <w:sz w:val="22"/>
          <w:szCs w:val="22"/>
        </w:rPr>
      </w:pPr>
      <w:r w:rsidRPr="00231326">
        <w:rPr>
          <w:rFonts w:ascii="Arial" w:hAnsi="Arial" w:cs="Arial"/>
          <w:sz w:val="22"/>
          <w:szCs w:val="22"/>
        </w:rPr>
        <w:t>Provides</w:t>
      </w:r>
      <w:r w:rsidR="00A43851" w:rsidRPr="00231326">
        <w:rPr>
          <w:rFonts w:ascii="Arial" w:hAnsi="Arial" w:cs="Arial"/>
          <w:sz w:val="22"/>
          <w:szCs w:val="22"/>
        </w:rPr>
        <w:t xml:space="preserve"> a platform for peer-to-peer sharing and learning among OGP members on fiscal openness;</w:t>
      </w:r>
    </w:p>
    <w:p w14:paraId="4011B71E" w14:textId="783A00F0" w:rsidR="005C330C" w:rsidRPr="00231326" w:rsidRDefault="00E87404">
      <w:pPr>
        <w:pStyle w:val="Sinespaciado"/>
        <w:numPr>
          <w:ilvl w:val="0"/>
          <w:numId w:val="1"/>
        </w:numPr>
        <w:rPr>
          <w:rFonts w:ascii="Arial" w:hAnsi="Arial" w:cs="Arial"/>
          <w:sz w:val="22"/>
          <w:szCs w:val="22"/>
        </w:rPr>
      </w:pPr>
      <w:r w:rsidRPr="00231326">
        <w:rPr>
          <w:rFonts w:ascii="Arial" w:hAnsi="Arial" w:cs="Arial"/>
          <w:sz w:val="22"/>
          <w:szCs w:val="22"/>
        </w:rPr>
        <w:t>Offers</w:t>
      </w:r>
      <w:r w:rsidR="00A43851" w:rsidRPr="00231326">
        <w:rPr>
          <w:rFonts w:ascii="Arial" w:hAnsi="Arial" w:cs="Arial"/>
          <w:sz w:val="22"/>
          <w:szCs w:val="22"/>
        </w:rPr>
        <w:t xml:space="preserve"> OGP members efficient and coordinated access to international good practices, tools, norms, assessments, and technical expertise on fiscal openness; </w:t>
      </w:r>
    </w:p>
    <w:p w14:paraId="02AAC37B" w14:textId="5BDBE44D" w:rsidR="005C330C" w:rsidRPr="00231326" w:rsidRDefault="00E87404">
      <w:pPr>
        <w:pStyle w:val="Sinespaciado"/>
        <w:numPr>
          <w:ilvl w:val="0"/>
          <w:numId w:val="1"/>
        </w:numPr>
        <w:rPr>
          <w:rFonts w:ascii="Arial" w:hAnsi="Arial" w:cs="Arial"/>
          <w:sz w:val="22"/>
          <w:szCs w:val="22"/>
        </w:rPr>
      </w:pPr>
      <w:r w:rsidRPr="00231326">
        <w:rPr>
          <w:rFonts w:ascii="Arial" w:hAnsi="Arial" w:cs="Arial"/>
          <w:sz w:val="22"/>
          <w:szCs w:val="22"/>
        </w:rPr>
        <w:t>Supports</w:t>
      </w:r>
      <w:r w:rsidR="00A43851" w:rsidRPr="00231326">
        <w:rPr>
          <w:rFonts w:ascii="Arial" w:hAnsi="Arial" w:cs="Arial"/>
          <w:sz w:val="22"/>
          <w:szCs w:val="22"/>
        </w:rPr>
        <w:t xml:space="preserve"> </w:t>
      </w:r>
      <w:r w:rsidR="00E0508D" w:rsidRPr="00231326">
        <w:rPr>
          <w:rFonts w:ascii="Arial" w:hAnsi="Arial" w:cs="Arial"/>
          <w:sz w:val="22"/>
          <w:szCs w:val="22"/>
        </w:rPr>
        <w:t>the efforts of OGP-members</w:t>
      </w:r>
      <w:r w:rsidR="00A43851" w:rsidRPr="00231326">
        <w:rPr>
          <w:rFonts w:ascii="Arial" w:hAnsi="Arial" w:cs="Arial"/>
          <w:sz w:val="22"/>
          <w:szCs w:val="22"/>
        </w:rPr>
        <w:t xml:space="preserve"> to implement their fiscal openness commitments, and develop even more ambitious goals and good practices;</w:t>
      </w:r>
    </w:p>
    <w:p w14:paraId="6C1A0765" w14:textId="59614EA4" w:rsidR="005C330C" w:rsidRPr="00231326" w:rsidRDefault="00E87404">
      <w:pPr>
        <w:pStyle w:val="Sinespaciado"/>
        <w:numPr>
          <w:ilvl w:val="0"/>
          <w:numId w:val="1"/>
        </w:numPr>
        <w:rPr>
          <w:rFonts w:ascii="Arial" w:hAnsi="Arial" w:cs="Arial"/>
          <w:sz w:val="22"/>
          <w:szCs w:val="22"/>
        </w:rPr>
      </w:pPr>
      <w:r w:rsidRPr="00231326">
        <w:rPr>
          <w:rFonts w:ascii="Arial" w:hAnsi="Arial" w:cs="Arial"/>
          <w:sz w:val="22"/>
          <w:szCs w:val="22"/>
        </w:rPr>
        <w:t>Motivates</w:t>
      </w:r>
      <w:r w:rsidR="00A43851" w:rsidRPr="00231326">
        <w:rPr>
          <w:rFonts w:ascii="Arial" w:hAnsi="Arial" w:cs="Arial"/>
          <w:sz w:val="22"/>
          <w:szCs w:val="22"/>
        </w:rPr>
        <w:t xml:space="preserve"> additional governments to become champions and models of fiscal openness. </w:t>
      </w:r>
    </w:p>
    <w:p w14:paraId="3D9A92FF" w14:textId="17A3F7BA" w:rsidR="005C330C" w:rsidRPr="000221AB" w:rsidRDefault="005C330C">
      <w:pPr>
        <w:pStyle w:val="Sinespaciado"/>
        <w:rPr>
          <w:rFonts w:ascii="Arial" w:hAnsi="Arial" w:cs="Arial"/>
          <w:color w:val="FF3300"/>
          <w:sz w:val="22"/>
          <w:szCs w:val="22"/>
        </w:rPr>
      </w:pPr>
    </w:p>
    <w:p w14:paraId="62A7B7D5" w14:textId="637D7B51" w:rsidR="00CA3C8A" w:rsidRPr="000221AB" w:rsidRDefault="00147EF5">
      <w:pPr>
        <w:pStyle w:val="Sinespaciado"/>
        <w:rPr>
          <w:rFonts w:ascii="Arial" w:hAnsi="Arial" w:cs="Arial"/>
          <w:color w:val="FF3300"/>
          <w:sz w:val="22"/>
          <w:szCs w:val="22"/>
          <w:u w:val="single"/>
        </w:rPr>
      </w:pPr>
      <w:r w:rsidRPr="000221AB">
        <w:rPr>
          <w:rFonts w:ascii="Arial" w:hAnsi="Arial" w:cs="Arial"/>
          <w:color w:val="FF3300"/>
          <w:sz w:val="22"/>
          <w:szCs w:val="22"/>
          <w:u w:val="single"/>
        </w:rPr>
        <w:t>Outcomes</w:t>
      </w:r>
    </w:p>
    <w:p w14:paraId="5FF0BDCC" w14:textId="04E89308" w:rsidR="00147EF5" w:rsidRDefault="00147EF5">
      <w:pPr>
        <w:pStyle w:val="Sinespaciado"/>
        <w:rPr>
          <w:rFonts w:ascii="Arial" w:hAnsi="Arial" w:cs="Arial"/>
          <w:sz w:val="22"/>
          <w:szCs w:val="22"/>
        </w:rPr>
      </w:pPr>
    </w:p>
    <w:p w14:paraId="23C9BF56" w14:textId="77777777" w:rsidR="00C36D35" w:rsidRDefault="00C36D35" w:rsidP="00C36D35">
      <w:pPr>
        <w:pStyle w:val="Sinespaciado"/>
        <w:numPr>
          <w:ilvl w:val="0"/>
          <w:numId w:val="4"/>
        </w:numPr>
        <w:ind w:left="709" w:hanging="283"/>
        <w:rPr>
          <w:rFonts w:ascii="Arial" w:hAnsi="Arial" w:cs="Arial"/>
          <w:sz w:val="22"/>
          <w:szCs w:val="22"/>
        </w:rPr>
      </w:pPr>
      <w:r>
        <w:rPr>
          <w:rFonts w:ascii="Arial" w:hAnsi="Arial" w:cs="Arial"/>
          <w:sz w:val="22"/>
          <w:szCs w:val="22"/>
        </w:rPr>
        <w:t>Four countries define and adopt commitments on fiscal transparency and participation in the national action plans (NAP) in 2017;</w:t>
      </w:r>
    </w:p>
    <w:p w14:paraId="697332A9" w14:textId="7B75695C" w:rsidR="00C36D35" w:rsidRDefault="00C36D35" w:rsidP="00C36D35">
      <w:pPr>
        <w:pStyle w:val="Sinespaciado"/>
        <w:numPr>
          <w:ilvl w:val="0"/>
          <w:numId w:val="4"/>
        </w:numPr>
        <w:ind w:left="709" w:hanging="283"/>
        <w:rPr>
          <w:rFonts w:ascii="Arial" w:hAnsi="Arial" w:cs="Arial"/>
          <w:sz w:val="22"/>
          <w:szCs w:val="22"/>
        </w:rPr>
      </w:pPr>
      <w:r>
        <w:rPr>
          <w:rFonts w:ascii="Arial" w:hAnsi="Arial" w:cs="Arial"/>
          <w:sz w:val="22"/>
          <w:szCs w:val="22"/>
        </w:rPr>
        <w:t>The FOWG provides assistance to four countries in the implementation of their on-going fiscal transparency and participation commitments; and</w:t>
      </w:r>
    </w:p>
    <w:p w14:paraId="2C5FD75A" w14:textId="77777777" w:rsidR="00C36D35" w:rsidRDefault="00C36D35" w:rsidP="00C36D35">
      <w:pPr>
        <w:pStyle w:val="Sinespaciado"/>
        <w:numPr>
          <w:ilvl w:val="0"/>
          <w:numId w:val="4"/>
        </w:numPr>
        <w:ind w:left="709" w:hanging="283"/>
        <w:rPr>
          <w:rFonts w:ascii="Arial" w:hAnsi="Arial" w:cs="Arial"/>
          <w:sz w:val="22"/>
          <w:szCs w:val="22"/>
        </w:rPr>
      </w:pPr>
      <w:r>
        <w:rPr>
          <w:rFonts w:ascii="Arial" w:hAnsi="Arial" w:cs="Arial"/>
          <w:sz w:val="22"/>
          <w:szCs w:val="22"/>
        </w:rPr>
        <w:t xml:space="preserve">The FOWG engages with governments and civil society organizations that contributed to Collective Action 7 of the Paris Declaration; and </w:t>
      </w:r>
    </w:p>
    <w:p w14:paraId="402C2283" w14:textId="157CF956" w:rsidR="00147EF5" w:rsidRPr="00C36D35" w:rsidRDefault="00C36D35" w:rsidP="00095DAA">
      <w:pPr>
        <w:pStyle w:val="Sinespaciado"/>
        <w:numPr>
          <w:ilvl w:val="0"/>
          <w:numId w:val="4"/>
        </w:numPr>
        <w:ind w:left="709" w:hanging="283"/>
        <w:rPr>
          <w:rFonts w:ascii="Arial" w:hAnsi="Arial" w:cs="Arial"/>
          <w:sz w:val="22"/>
          <w:szCs w:val="22"/>
        </w:rPr>
      </w:pPr>
      <w:r w:rsidRPr="00C36D35">
        <w:rPr>
          <w:rFonts w:ascii="Arial" w:hAnsi="Arial" w:cs="Arial"/>
          <w:sz w:val="22"/>
          <w:szCs w:val="22"/>
        </w:rPr>
        <w:t xml:space="preserve">The FOWG engages in common activities with one OGP working group. </w:t>
      </w:r>
    </w:p>
    <w:p w14:paraId="76760772" w14:textId="3884439A" w:rsidR="00C36D35" w:rsidRDefault="00C36D35" w:rsidP="00C36D35">
      <w:pPr>
        <w:pStyle w:val="Sinespaciado"/>
        <w:ind w:left="709"/>
      </w:pPr>
    </w:p>
    <w:p w14:paraId="45222C6F" w14:textId="77777777" w:rsidR="00C36D35" w:rsidRPr="00C36D35" w:rsidRDefault="00C36D35" w:rsidP="00C36D35">
      <w:pPr>
        <w:pStyle w:val="Sinespaciado"/>
        <w:ind w:left="709"/>
        <w:rPr>
          <w:rFonts w:ascii="Arial" w:hAnsi="Arial" w:cs="Arial"/>
          <w:sz w:val="22"/>
          <w:szCs w:val="22"/>
        </w:rPr>
      </w:pPr>
    </w:p>
    <w:p w14:paraId="0B39215A" w14:textId="5F217AEB" w:rsidR="00147EF5" w:rsidRPr="000221AB" w:rsidRDefault="00147EF5">
      <w:pPr>
        <w:pStyle w:val="Sinespaciado"/>
        <w:rPr>
          <w:rFonts w:ascii="Arial" w:hAnsi="Arial" w:cs="Arial"/>
          <w:b/>
          <w:color w:val="FF3300"/>
          <w:sz w:val="22"/>
          <w:szCs w:val="22"/>
        </w:rPr>
      </w:pPr>
      <w:r w:rsidRPr="000221AB">
        <w:rPr>
          <w:rFonts w:ascii="Arial" w:hAnsi="Arial" w:cs="Arial"/>
          <w:b/>
          <w:color w:val="FF3300"/>
          <w:sz w:val="22"/>
          <w:szCs w:val="22"/>
        </w:rPr>
        <w:t>KEY ACTIVITIES</w:t>
      </w:r>
    </w:p>
    <w:p w14:paraId="1BE50085" w14:textId="77777777" w:rsidR="000221AB" w:rsidRDefault="000221AB" w:rsidP="000221AB">
      <w:pPr>
        <w:pStyle w:val="Sinespaciado"/>
        <w:rPr>
          <w:rFonts w:ascii="Arial" w:hAnsi="Arial" w:cs="Arial"/>
          <w:sz w:val="22"/>
          <w:szCs w:val="22"/>
        </w:rPr>
      </w:pPr>
    </w:p>
    <w:p w14:paraId="3B5D8DCD" w14:textId="542B4AE4" w:rsidR="000221AB" w:rsidRPr="00231326" w:rsidRDefault="000221AB" w:rsidP="000221AB">
      <w:pPr>
        <w:pStyle w:val="Sinespaciado"/>
        <w:rPr>
          <w:rFonts w:ascii="Arial" w:hAnsi="Arial" w:cs="Arial"/>
          <w:sz w:val="22"/>
          <w:szCs w:val="22"/>
        </w:rPr>
      </w:pPr>
      <w:r w:rsidRPr="00231326">
        <w:rPr>
          <w:rFonts w:ascii="Arial" w:hAnsi="Arial" w:cs="Arial"/>
          <w:sz w:val="22"/>
          <w:szCs w:val="22"/>
        </w:rPr>
        <w:t>This year, the FOWG has planned several activities and peer to peer workshops to continue providing technical assistance to countries formulating their National Action Plans, as well to countries that are in the process of implementing their fiscal transparency commitments; promoting peer-to-peer learning; and creating synergies with other OGP working groups, as described below.</w:t>
      </w:r>
    </w:p>
    <w:p w14:paraId="0F15BA4E" w14:textId="77777777" w:rsidR="000221AB" w:rsidRDefault="000221AB" w:rsidP="000221AB">
      <w:pPr>
        <w:pStyle w:val="Sinespaciado"/>
        <w:rPr>
          <w:rFonts w:ascii="Arial" w:hAnsi="Arial" w:cs="Arial"/>
          <w:sz w:val="22"/>
          <w:szCs w:val="22"/>
        </w:rPr>
      </w:pPr>
    </w:p>
    <w:p w14:paraId="227564A3" w14:textId="77777777" w:rsidR="00147EF5" w:rsidRPr="000221AB" w:rsidRDefault="00147EF5">
      <w:pPr>
        <w:pStyle w:val="Sinespaciado"/>
        <w:rPr>
          <w:rFonts w:ascii="Arial" w:hAnsi="Arial" w:cs="Arial"/>
          <w:color w:val="FF3300"/>
          <w:sz w:val="22"/>
          <w:szCs w:val="22"/>
        </w:rPr>
      </w:pPr>
    </w:p>
    <w:p w14:paraId="541A5CAA" w14:textId="77777777" w:rsidR="00997E21" w:rsidRPr="000221AB" w:rsidRDefault="00997E21" w:rsidP="00997E21">
      <w:pPr>
        <w:rPr>
          <w:rFonts w:ascii="Arial" w:hAnsi="Arial"/>
          <w:color w:val="FF3300"/>
          <w:sz w:val="22"/>
          <w:szCs w:val="22"/>
          <w:u w:val="single"/>
        </w:rPr>
      </w:pPr>
      <w:r w:rsidRPr="000221AB">
        <w:rPr>
          <w:rFonts w:ascii="Arial" w:hAnsi="Arial"/>
          <w:color w:val="FF3300"/>
          <w:sz w:val="22"/>
          <w:szCs w:val="22"/>
          <w:u w:val="single"/>
        </w:rPr>
        <w:t>Technical Assistance for National Action Plans</w:t>
      </w:r>
    </w:p>
    <w:p w14:paraId="1261D435" w14:textId="77777777" w:rsidR="00997E21" w:rsidRPr="000221AB" w:rsidRDefault="00997E21" w:rsidP="00997E21">
      <w:pPr>
        <w:rPr>
          <w:rFonts w:ascii="Arial" w:hAnsi="Arial"/>
          <w:color w:val="FF3300"/>
          <w:sz w:val="22"/>
          <w:szCs w:val="22"/>
        </w:rPr>
      </w:pPr>
      <w:r w:rsidRPr="000221AB">
        <w:rPr>
          <w:rFonts w:ascii="Arial" w:hAnsi="Arial"/>
          <w:color w:val="FF3300"/>
          <w:sz w:val="22"/>
          <w:szCs w:val="22"/>
        </w:rPr>
        <w:t xml:space="preserve"> </w:t>
      </w:r>
    </w:p>
    <w:p w14:paraId="260ABBC7" w14:textId="30FA4B17" w:rsidR="005B598C" w:rsidRPr="00231326" w:rsidRDefault="005B598C" w:rsidP="00997E21">
      <w:pPr>
        <w:rPr>
          <w:rFonts w:ascii="Arial" w:hAnsi="Arial"/>
          <w:sz w:val="22"/>
          <w:szCs w:val="22"/>
        </w:rPr>
      </w:pPr>
      <w:r w:rsidRPr="00231326">
        <w:rPr>
          <w:rFonts w:ascii="Arial" w:hAnsi="Arial"/>
          <w:sz w:val="22"/>
          <w:szCs w:val="22"/>
        </w:rPr>
        <w:t>T</w:t>
      </w:r>
      <w:r w:rsidR="00997E21" w:rsidRPr="00231326">
        <w:rPr>
          <w:rFonts w:ascii="Arial" w:hAnsi="Arial"/>
          <w:sz w:val="22"/>
          <w:szCs w:val="22"/>
        </w:rPr>
        <w:t xml:space="preserve">he GIFT network will continue providing assistance to various countries that will be working on their National Action Plans in the first semester of 2017. </w:t>
      </w:r>
      <w:r w:rsidR="001F1D51" w:rsidRPr="00231326">
        <w:rPr>
          <w:rFonts w:ascii="Arial" w:hAnsi="Arial"/>
          <w:sz w:val="22"/>
          <w:szCs w:val="22"/>
        </w:rPr>
        <w:t>The goal is</w:t>
      </w:r>
      <w:r w:rsidR="00521495" w:rsidRPr="00231326">
        <w:rPr>
          <w:rFonts w:ascii="Arial" w:hAnsi="Arial"/>
          <w:sz w:val="22"/>
          <w:szCs w:val="22"/>
        </w:rPr>
        <w:t xml:space="preserve"> to get countries to define and adopt commitments on fiscal transparency and simultaneously sign onto principles on fiscal transparency and public participation.</w:t>
      </w:r>
      <w:r w:rsidRPr="00231326">
        <w:rPr>
          <w:rFonts w:ascii="Arial" w:hAnsi="Arial"/>
          <w:sz w:val="22"/>
          <w:szCs w:val="22"/>
        </w:rPr>
        <w:t xml:space="preserve"> This assistance seeks to generate a conversation with governments, based on the FOWG’s experience of engaging </w:t>
      </w:r>
      <w:r w:rsidRPr="00231326">
        <w:rPr>
          <w:rFonts w:ascii="Arial" w:hAnsi="Arial"/>
          <w:sz w:val="22"/>
          <w:szCs w:val="22"/>
        </w:rPr>
        <w:lastRenderedPageBreak/>
        <w:t>OGP countries in technical assistance and peer-to-peer learning continuously over the last couple of years, that leads to improved action plans, with practical commitments to implement the Hi</w:t>
      </w:r>
      <w:r w:rsidR="00456278" w:rsidRPr="00231326">
        <w:rPr>
          <w:rFonts w:ascii="Arial" w:hAnsi="Arial"/>
          <w:sz w:val="22"/>
          <w:szCs w:val="22"/>
        </w:rPr>
        <w:t>gh-</w:t>
      </w:r>
      <w:r w:rsidRPr="00231326">
        <w:rPr>
          <w:rFonts w:ascii="Arial" w:hAnsi="Arial"/>
          <w:sz w:val="22"/>
          <w:szCs w:val="22"/>
        </w:rPr>
        <w:t xml:space="preserve">Level Principles on Fiscal Transparency, as </w:t>
      </w:r>
      <w:r w:rsidR="00456278" w:rsidRPr="00231326">
        <w:rPr>
          <w:rFonts w:ascii="Arial" w:hAnsi="Arial"/>
          <w:sz w:val="22"/>
          <w:szCs w:val="22"/>
        </w:rPr>
        <w:t xml:space="preserve">well as the Principles of Public Participation in Fiscal Policy. </w:t>
      </w:r>
    </w:p>
    <w:p w14:paraId="0D1F7252" w14:textId="4E2FA247" w:rsidR="00456278" w:rsidRPr="00231326" w:rsidRDefault="00456278" w:rsidP="00997E21">
      <w:pPr>
        <w:rPr>
          <w:rFonts w:ascii="Arial" w:hAnsi="Arial"/>
          <w:sz w:val="22"/>
          <w:szCs w:val="22"/>
        </w:rPr>
      </w:pPr>
    </w:p>
    <w:p w14:paraId="31DAA95A" w14:textId="26DC132E" w:rsidR="00997E21" w:rsidRPr="00231326" w:rsidRDefault="00997E21" w:rsidP="00997E21">
      <w:pPr>
        <w:rPr>
          <w:rFonts w:ascii="Arial" w:hAnsi="Arial"/>
          <w:sz w:val="22"/>
          <w:szCs w:val="22"/>
        </w:rPr>
      </w:pPr>
      <w:r w:rsidRPr="00231326">
        <w:rPr>
          <w:rFonts w:ascii="Arial" w:hAnsi="Arial"/>
          <w:sz w:val="22"/>
          <w:szCs w:val="22"/>
        </w:rPr>
        <w:t>GIFT is in a position to offer deeper support to national public finance authorities in the development and detailed design of fiscal openness commitments in their next Action Plans and to move further up-stream with this support. This support would take the form of technical inputs, drawing on the expertise and cross-country experience in the GIFT network, and/or facilitating interactions with in-country CSOs working on budget transparency. In</w:t>
      </w:r>
      <w:r w:rsidR="00456278" w:rsidRPr="00231326">
        <w:rPr>
          <w:rFonts w:ascii="Arial" w:hAnsi="Arial"/>
          <w:sz w:val="22"/>
          <w:szCs w:val="22"/>
        </w:rPr>
        <w:t xml:space="preserve"> 2015 and</w:t>
      </w:r>
      <w:r w:rsidRPr="00231326">
        <w:rPr>
          <w:rFonts w:ascii="Arial" w:hAnsi="Arial"/>
          <w:sz w:val="22"/>
          <w:szCs w:val="22"/>
        </w:rPr>
        <w:t xml:space="preserve"> </w:t>
      </w:r>
      <w:r w:rsidR="00456278" w:rsidRPr="00231326">
        <w:rPr>
          <w:rFonts w:ascii="Arial" w:hAnsi="Arial"/>
          <w:sz w:val="22"/>
          <w:szCs w:val="22"/>
        </w:rPr>
        <w:t>2016</w:t>
      </w:r>
      <w:r w:rsidRPr="00231326">
        <w:rPr>
          <w:rFonts w:ascii="Arial" w:hAnsi="Arial"/>
          <w:sz w:val="22"/>
          <w:szCs w:val="22"/>
        </w:rPr>
        <w:t>, the FOWG provided comments on the fiscal transparency commitments of several draft National Action Plans, but this was at a late stage in the development of the Plans. Experience suggests that technical inputs at an earlier stage will be more useful and effective, and that peer learning and networking can support this assistance.</w:t>
      </w:r>
      <w:r w:rsidR="00456278" w:rsidRPr="00231326">
        <w:rPr>
          <w:rFonts w:ascii="Arial" w:hAnsi="Arial"/>
          <w:sz w:val="22"/>
          <w:szCs w:val="22"/>
        </w:rPr>
        <w:t xml:space="preserve"> GIFT has expressed this concern to OGP’s Support Unit and is looking forward to discuss a mechanism that allows an earlier collaboration in the NAP drafting process.</w:t>
      </w:r>
    </w:p>
    <w:p w14:paraId="2C9FA415" w14:textId="77777777" w:rsidR="00997E21" w:rsidRPr="00231326" w:rsidRDefault="00997E21" w:rsidP="00997E21">
      <w:pPr>
        <w:rPr>
          <w:rFonts w:ascii="Arial" w:hAnsi="Arial"/>
          <w:sz w:val="22"/>
          <w:szCs w:val="22"/>
        </w:rPr>
      </w:pPr>
    </w:p>
    <w:p w14:paraId="036690ED" w14:textId="77777777" w:rsidR="00997E21" w:rsidRPr="00231326" w:rsidRDefault="00997E21" w:rsidP="00997E21">
      <w:pPr>
        <w:rPr>
          <w:rFonts w:ascii="Arial" w:hAnsi="Arial"/>
          <w:sz w:val="22"/>
          <w:szCs w:val="22"/>
        </w:rPr>
      </w:pPr>
      <w:r w:rsidRPr="00231326">
        <w:rPr>
          <w:rFonts w:ascii="Arial" w:hAnsi="Arial"/>
          <w:sz w:val="22"/>
          <w:szCs w:val="22"/>
        </w:rPr>
        <w:t>The FOWG can provide inputs on any aspect of fiscal transparency, participation, and accountability. The specific areas on which FOWG workshops and cross-country activities have been focusing on recently are:</w:t>
      </w:r>
    </w:p>
    <w:p w14:paraId="10D278AA" w14:textId="77777777" w:rsidR="00997E21" w:rsidRPr="00231326" w:rsidRDefault="00997E21" w:rsidP="00997E21">
      <w:pPr>
        <w:rPr>
          <w:rFonts w:ascii="Arial" w:hAnsi="Arial"/>
          <w:sz w:val="22"/>
          <w:szCs w:val="22"/>
        </w:rPr>
      </w:pPr>
      <w:r w:rsidRPr="00231326">
        <w:rPr>
          <w:rFonts w:ascii="Arial" w:hAnsi="Arial"/>
          <w:sz w:val="22"/>
          <w:szCs w:val="22"/>
        </w:rPr>
        <w:t>1) Public participation in the development and implementation of fiscal policy and budgeting.</w:t>
      </w:r>
    </w:p>
    <w:p w14:paraId="756BDDCF" w14:textId="1E696F6B" w:rsidR="00997E21" w:rsidRPr="00231326" w:rsidRDefault="00997E21" w:rsidP="00997E21">
      <w:pPr>
        <w:rPr>
          <w:rFonts w:ascii="Arial" w:hAnsi="Arial"/>
          <w:sz w:val="22"/>
          <w:szCs w:val="22"/>
        </w:rPr>
      </w:pPr>
      <w:r w:rsidRPr="00231326">
        <w:rPr>
          <w:rFonts w:ascii="Arial" w:hAnsi="Arial"/>
          <w:sz w:val="22"/>
          <w:szCs w:val="22"/>
        </w:rPr>
        <w:t>2) The dissemination of f</w:t>
      </w:r>
      <w:r w:rsidR="00456278" w:rsidRPr="00231326">
        <w:rPr>
          <w:rFonts w:ascii="Arial" w:hAnsi="Arial"/>
          <w:sz w:val="22"/>
          <w:szCs w:val="22"/>
        </w:rPr>
        <w:t>iscal data in open data formats and visualizations</w:t>
      </w:r>
    </w:p>
    <w:p w14:paraId="52A7FD44" w14:textId="1C5C6D73" w:rsidR="0087410D" w:rsidRPr="00231326" w:rsidRDefault="00997E21" w:rsidP="00456278">
      <w:pPr>
        <w:rPr>
          <w:rFonts w:ascii="Arial" w:hAnsi="Arial" w:cs="Arial"/>
          <w:sz w:val="22"/>
          <w:szCs w:val="22"/>
        </w:rPr>
      </w:pPr>
      <w:r w:rsidRPr="00231326">
        <w:rPr>
          <w:rFonts w:ascii="Arial" w:hAnsi="Arial"/>
          <w:sz w:val="22"/>
          <w:szCs w:val="22"/>
        </w:rPr>
        <w:t>3) Fiscal Transparency Portals and Citizens Budgets (popular disse</w:t>
      </w:r>
      <w:r w:rsidR="00456278" w:rsidRPr="00231326">
        <w:rPr>
          <w:rFonts w:ascii="Arial" w:hAnsi="Arial"/>
          <w:sz w:val="22"/>
          <w:szCs w:val="22"/>
        </w:rPr>
        <w:t>mination of budget information</w:t>
      </w:r>
      <w:r w:rsidR="0071593A" w:rsidRPr="00231326">
        <w:rPr>
          <w:rFonts w:ascii="Arial" w:hAnsi="Arial"/>
          <w:sz w:val="22"/>
          <w:szCs w:val="22"/>
        </w:rPr>
        <w:t>)</w:t>
      </w:r>
      <w:r w:rsidRPr="00231326">
        <w:rPr>
          <w:rFonts w:ascii="Arial" w:hAnsi="Arial" w:cs="Arial"/>
          <w:sz w:val="22"/>
          <w:szCs w:val="22"/>
        </w:rPr>
        <w:br/>
      </w:r>
    </w:p>
    <w:p w14:paraId="7CD09980" w14:textId="3E2F493D" w:rsidR="002435F6" w:rsidRPr="00231326" w:rsidRDefault="0041023E" w:rsidP="00456278">
      <w:pPr>
        <w:rPr>
          <w:rFonts w:ascii="Arial" w:hAnsi="Arial" w:cs="Arial"/>
          <w:sz w:val="22"/>
          <w:szCs w:val="22"/>
        </w:rPr>
      </w:pPr>
      <w:r w:rsidRPr="00231326">
        <w:rPr>
          <w:rFonts w:ascii="Arial" w:hAnsi="Arial" w:cs="Arial"/>
          <w:sz w:val="22"/>
          <w:szCs w:val="22"/>
        </w:rPr>
        <w:t>T</w:t>
      </w:r>
      <w:r w:rsidR="001B0332" w:rsidRPr="00231326">
        <w:rPr>
          <w:rFonts w:ascii="Arial" w:hAnsi="Arial" w:cs="Arial"/>
          <w:sz w:val="22"/>
          <w:szCs w:val="22"/>
        </w:rPr>
        <w:t>he following countries working on their NAP this year</w:t>
      </w:r>
      <w:r w:rsidRPr="00231326">
        <w:rPr>
          <w:rFonts w:ascii="Arial" w:hAnsi="Arial" w:cs="Arial"/>
          <w:sz w:val="22"/>
          <w:szCs w:val="22"/>
        </w:rPr>
        <w:t xml:space="preserve"> are of particular interest for the FOWG:</w:t>
      </w:r>
      <w:r w:rsidR="001B0332" w:rsidRPr="00231326">
        <w:rPr>
          <w:rFonts w:ascii="Arial" w:hAnsi="Arial" w:cs="Arial"/>
          <w:sz w:val="22"/>
          <w:szCs w:val="22"/>
        </w:rPr>
        <w:t xml:space="preserve"> Argentina, Bosnia &amp; Herzegovina, Burkina Faso, Colombia, Croatia, France, Jamaica, Liberia, Malta, Moldova, Montenegro, the Philippines, and the United States. </w:t>
      </w:r>
    </w:p>
    <w:p w14:paraId="37198BFE" w14:textId="7AA79A0A" w:rsidR="00475558" w:rsidRPr="00231326" w:rsidRDefault="00475558" w:rsidP="00456278">
      <w:pPr>
        <w:rPr>
          <w:rFonts w:ascii="Arial" w:hAnsi="Arial" w:cs="Arial"/>
          <w:sz w:val="22"/>
          <w:szCs w:val="22"/>
        </w:rPr>
      </w:pPr>
    </w:p>
    <w:p w14:paraId="05FA4CF1" w14:textId="6BC0C8B7" w:rsidR="00475558" w:rsidRPr="00231326" w:rsidRDefault="00A95230" w:rsidP="00C36D35">
      <w:pPr>
        <w:shd w:val="clear" w:color="auto" w:fill="FFFFFF"/>
        <w:rPr>
          <w:rFonts w:ascii="Arial" w:hAnsi="Arial" w:cs="Arial"/>
          <w:sz w:val="22"/>
          <w:szCs w:val="22"/>
        </w:rPr>
      </w:pPr>
      <w:r w:rsidRPr="00231326">
        <w:rPr>
          <w:rFonts w:ascii="Arial" w:hAnsi="Arial" w:cs="Arial"/>
          <w:sz w:val="22"/>
          <w:szCs w:val="22"/>
        </w:rPr>
        <w:t>GIFT</w:t>
      </w:r>
      <w:r w:rsidR="00475558" w:rsidRPr="00231326">
        <w:rPr>
          <w:rFonts w:ascii="Arial" w:hAnsi="Arial" w:cs="Arial"/>
          <w:sz w:val="22"/>
          <w:szCs w:val="22"/>
        </w:rPr>
        <w:t xml:space="preserve"> will seek to engage Argentinian and Colombian Ministries of Finance in the May Paraguay workshop;</w:t>
      </w:r>
      <w:r w:rsidRPr="00231326">
        <w:rPr>
          <w:rFonts w:ascii="Arial" w:hAnsi="Arial" w:cs="Arial"/>
          <w:sz w:val="22"/>
          <w:szCs w:val="22"/>
        </w:rPr>
        <w:t xml:space="preserve"> and</w:t>
      </w:r>
      <w:r w:rsidR="00475558" w:rsidRPr="00231326">
        <w:rPr>
          <w:rFonts w:ascii="Arial" w:hAnsi="Arial" w:cs="Arial"/>
          <w:sz w:val="22"/>
          <w:szCs w:val="22"/>
        </w:rPr>
        <w:t xml:space="preserve"> </w:t>
      </w:r>
      <w:r w:rsidRPr="00231326">
        <w:rPr>
          <w:rFonts w:ascii="Arial" w:hAnsi="Arial" w:cs="Arial"/>
          <w:sz w:val="22"/>
          <w:szCs w:val="22"/>
        </w:rPr>
        <w:t>Bosnia &amp; Herzegovina and Croatia will be included in the May regional workshop in the Balkans. In the case of Burkina Faso, the FOWG will try to work together on the Francophone Africa event involving Cote D’Ivoire, Senegal, Burkina Faso and Benin (not an OGP country yet), organized with IBP and other GIFT stewards.</w:t>
      </w:r>
      <w:r w:rsidR="0071593A" w:rsidRPr="00231326">
        <w:rPr>
          <w:rFonts w:ascii="Arial" w:hAnsi="Arial" w:cs="Arial"/>
          <w:sz w:val="22"/>
          <w:szCs w:val="22"/>
        </w:rPr>
        <w:t xml:space="preserve"> With respect to the Philippines, the Department of Budget and Management is a GIFT Lead Steward, and the national government has committed to </w:t>
      </w:r>
      <w:r w:rsidR="0071593A" w:rsidRPr="00231326">
        <w:rPr>
          <w:rStyle w:val="m-2013500314835217229gmail-msocommentreference"/>
          <w:rFonts w:ascii="Arial" w:hAnsi="Arial" w:cs="Arial"/>
          <w:sz w:val="22"/>
          <w:szCs w:val="22"/>
          <w:shd w:val="clear" w:color="auto" w:fill="FFFFFF"/>
        </w:rPr>
        <w:t>Collective Action 7 on</w:t>
      </w:r>
      <w:r w:rsidR="0071593A" w:rsidRPr="00231326">
        <w:rPr>
          <w:rStyle w:val="apple-converted-space"/>
          <w:rFonts w:ascii="Arial" w:hAnsi="Arial" w:cs="Arial"/>
          <w:sz w:val="22"/>
          <w:szCs w:val="22"/>
          <w:shd w:val="clear" w:color="auto" w:fill="FFFFFF"/>
        </w:rPr>
        <w:t> </w:t>
      </w:r>
      <w:r w:rsidR="0071593A" w:rsidRPr="00231326">
        <w:rPr>
          <w:rFonts w:ascii="Arial" w:hAnsi="Arial" w:cs="Arial"/>
          <w:sz w:val="22"/>
          <w:szCs w:val="22"/>
          <w:shd w:val="clear" w:color="auto" w:fill="FFFFFF"/>
        </w:rPr>
        <w:t>Transparency and participation in budgets and fiscal policies, among other actions through the Commission on Audit’s</w:t>
      </w:r>
      <w:r w:rsidR="00CA3C8A">
        <w:rPr>
          <w:rFonts w:ascii="Arial" w:hAnsi="Arial" w:cs="Arial"/>
          <w:sz w:val="22"/>
          <w:szCs w:val="22"/>
          <w:shd w:val="clear" w:color="auto" w:fill="FFFFFF"/>
        </w:rPr>
        <w:t xml:space="preserve"> (COA) commitment to institutionalize the implementation of Citizen Participatory Audit and issue additional policy enhancements.</w:t>
      </w:r>
      <w:r w:rsidR="0071593A" w:rsidRPr="00231326">
        <w:rPr>
          <w:rFonts w:ascii="Arial" w:hAnsi="Arial" w:cs="Arial"/>
          <w:sz w:val="22"/>
          <w:szCs w:val="22"/>
          <w:shd w:val="clear" w:color="auto" w:fill="FFFFFF"/>
        </w:rPr>
        <w:t> </w:t>
      </w:r>
    </w:p>
    <w:p w14:paraId="4B5FF758" w14:textId="21FC90EA" w:rsidR="00997E21" w:rsidRPr="00231326" w:rsidRDefault="00997E21" w:rsidP="00456278">
      <w:pPr>
        <w:rPr>
          <w:rFonts w:ascii="Arial" w:hAnsi="Arial"/>
          <w:sz w:val="22"/>
          <w:szCs w:val="22"/>
        </w:rPr>
      </w:pPr>
      <w:r w:rsidRPr="00231326">
        <w:rPr>
          <w:rFonts w:ascii="Arial" w:hAnsi="Arial" w:cs="Arial"/>
          <w:sz w:val="22"/>
          <w:szCs w:val="22"/>
        </w:rPr>
        <w:br/>
      </w:r>
      <w:r w:rsidRPr="000221AB">
        <w:rPr>
          <w:rFonts w:ascii="Arial" w:hAnsi="Arial" w:cs="Arial"/>
          <w:color w:val="FF3300"/>
          <w:sz w:val="22"/>
          <w:szCs w:val="22"/>
          <w:u w:val="single"/>
        </w:rPr>
        <w:t>On-Going Investment in National Action Plans</w:t>
      </w:r>
      <w:r w:rsidRPr="00231326">
        <w:rPr>
          <w:rFonts w:ascii="Arial" w:hAnsi="Arial" w:cs="Arial"/>
          <w:sz w:val="22"/>
          <w:szCs w:val="22"/>
          <w:u w:val="single"/>
        </w:rPr>
        <w:br/>
      </w:r>
    </w:p>
    <w:p w14:paraId="6C7C32FE" w14:textId="46266457" w:rsidR="0071593A" w:rsidRPr="00231326" w:rsidRDefault="00997E21" w:rsidP="0071593A">
      <w:pPr>
        <w:pStyle w:val="Sinespaciado"/>
        <w:rPr>
          <w:rFonts w:ascii="Arial" w:hAnsi="Arial" w:cs="Arial"/>
          <w:sz w:val="22"/>
          <w:szCs w:val="22"/>
        </w:rPr>
      </w:pPr>
      <w:r w:rsidRPr="00231326">
        <w:rPr>
          <w:rFonts w:ascii="Arial" w:hAnsi="Arial" w:cs="Arial"/>
          <w:sz w:val="22"/>
          <w:szCs w:val="22"/>
        </w:rPr>
        <w:t>GIFT and the FOWG network will provide specific recommendations on what countries can do in terms of fiscal openness, drawing on the 2015 Open Budget Survey’s recommendations for each country on priorities for reform, as well as the International Budget Partnership's in-country network of Budget CSOs. Where appropriate,</w:t>
      </w:r>
      <w:r w:rsidR="00CD3EA7" w:rsidRPr="00231326">
        <w:rPr>
          <w:rFonts w:ascii="Arial" w:hAnsi="Arial" w:cs="Arial"/>
          <w:sz w:val="22"/>
          <w:szCs w:val="22"/>
        </w:rPr>
        <w:t xml:space="preserve"> </w:t>
      </w:r>
      <w:r w:rsidRPr="00231326">
        <w:rPr>
          <w:rFonts w:ascii="Arial" w:hAnsi="Arial" w:cs="Arial"/>
          <w:sz w:val="22"/>
          <w:szCs w:val="22"/>
        </w:rPr>
        <w:t xml:space="preserve">EITI </w:t>
      </w:r>
      <w:r w:rsidR="00CD3EA7" w:rsidRPr="00231326">
        <w:rPr>
          <w:rFonts w:ascii="Arial" w:hAnsi="Arial" w:cs="Arial"/>
          <w:sz w:val="22"/>
          <w:szCs w:val="22"/>
        </w:rPr>
        <w:t xml:space="preserve">and </w:t>
      </w:r>
      <w:r w:rsidR="00CD3EA7" w:rsidRPr="00231326">
        <w:rPr>
          <w:rFonts w:ascii="Arial" w:hAnsi="Arial" w:cs="Arial"/>
          <w:sz w:val="22"/>
          <w:szCs w:val="22"/>
        </w:rPr>
        <w:lastRenderedPageBreak/>
        <w:t xml:space="preserve">Open Contracting Partnership </w:t>
      </w:r>
      <w:r w:rsidRPr="00231326">
        <w:rPr>
          <w:rFonts w:ascii="Arial" w:hAnsi="Arial" w:cs="Arial"/>
          <w:sz w:val="22"/>
          <w:szCs w:val="22"/>
        </w:rPr>
        <w:t>reports encouraging fiscal transparency may also be drawn upon</w:t>
      </w:r>
      <w:r w:rsidR="0071593A" w:rsidRPr="00231326">
        <w:rPr>
          <w:rFonts w:ascii="Arial" w:hAnsi="Arial" w:cs="Arial"/>
          <w:sz w:val="22"/>
          <w:szCs w:val="22"/>
        </w:rPr>
        <w:t>.</w:t>
      </w:r>
    </w:p>
    <w:p w14:paraId="5A16EC90" w14:textId="6A1C3E23" w:rsidR="0071593A" w:rsidRPr="00231326" w:rsidRDefault="00A502AC" w:rsidP="00C72975">
      <w:pPr>
        <w:pStyle w:val="NormalWeb"/>
        <w:shd w:val="clear" w:color="auto" w:fill="FFFFFF"/>
        <w:rPr>
          <w:rFonts w:ascii="Arial" w:hAnsi="Arial" w:cs="Arial"/>
          <w:sz w:val="22"/>
          <w:szCs w:val="22"/>
          <w:lang w:val="en-US"/>
        </w:rPr>
      </w:pPr>
      <w:r w:rsidRPr="00231326">
        <w:rPr>
          <w:rFonts w:ascii="Arial" w:hAnsi="Arial" w:cs="Arial"/>
          <w:sz w:val="22"/>
          <w:szCs w:val="22"/>
          <w:lang w:val="en-US"/>
        </w:rPr>
        <w:t>T</w:t>
      </w:r>
      <w:r w:rsidR="0071593A" w:rsidRPr="00231326">
        <w:rPr>
          <w:rFonts w:ascii="Arial" w:hAnsi="Arial" w:cs="Arial"/>
          <w:sz w:val="22"/>
          <w:szCs w:val="22"/>
          <w:lang w:val="en-US"/>
        </w:rPr>
        <w:t xml:space="preserve">he network has </w:t>
      </w:r>
      <w:r w:rsidRPr="00231326">
        <w:rPr>
          <w:rFonts w:ascii="Arial" w:hAnsi="Arial" w:cs="Arial"/>
          <w:sz w:val="22"/>
          <w:szCs w:val="22"/>
          <w:lang w:val="en-US"/>
        </w:rPr>
        <w:t xml:space="preserve">been providing </w:t>
      </w:r>
      <w:r w:rsidR="0071593A" w:rsidRPr="00231326">
        <w:rPr>
          <w:rFonts w:ascii="Arial" w:hAnsi="Arial" w:cs="Arial"/>
          <w:sz w:val="22"/>
          <w:szCs w:val="22"/>
          <w:lang w:val="en-US"/>
        </w:rPr>
        <w:t xml:space="preserve">on-going </w:t>
      </w:r>
      <w:r w:rsidRPr="00231326">
        <w:rPr>
          <w:rFonts w:ascii="Arial" w:hAnsi="Arial" w:cs="Arial"/>
          <w:sz w:val="22"/>
          <w:szCs w:val="22"/>
          <w:lang w:val="en-US"/>
        </w:rPr>
        <w:t>support to its members, through technical assistance or peer to peer learning activities for the implementation of their fiscal transparency commitments, as is the case with Mexico, Guatemala, Paraguay, Tunisia and Uruguay. GIFT will continue actively engaging with these governments. In particular, the Government of Paraguay has endorsed the Paris Collective Action 7 by sharing “one interactive website/app that will foster citizen interaction for the following and monitoring of the budget design, execution of the budget, salary payrolls, public debt, public investment and land registries. The Paraguayan Government will share the methodology for the creation of a National Catalogue of Action and Audit Plans related to the National Action Plan 2030, which have a direct impact on multi-year budget design.</w:t>
      </w:r>
      <w:r w:rsidR="00C72975" w:rsidRPr="00231326">
        <w:rPr>
          <w:rFonts w:ascii="Arial" w:hAnsi="Arial" w:cs="Arial"/>
          <w:sz w:val="22"/>
          <w:szCs w:val="22"/>
          <w:lang w:val="en-US"/>
        </w:rPr>
        <w:t>” Similarly, t</w:t>
      </w:r>
      <w:r w:rsidRPr="00231326">
        <w:rPr>
          <w:rFonts w:ascii="Arial" w:hAnsi="Arial" w:cs="Arial"/>
          <w:sz w:val="22"/>
          <w:szCs w:val="22"/>
          <w:lang w:val="en-US"/>
        </w:rPr>
        <w:t>he</w:t>
      </w:r>
      <w:r w:rsidRPr="00231326">
        <w:rPr>
          <w:sz w:val="22"/>
          <w:szCs w:val="22"/>
          <w:lang w:val="en-US"/>
        </w:rPr>
        <w:t> </w:t>
      </w:r>
      <w:r w:rsidRPr="00231326">
        <w:rPr>
          <w:rFonts w:ascii="Arial" w:hAnsi="Arial" w:cs="Arial"/>
          <w:sz w:val="22"/>
          <w:szCs w:val="22"/>
          <w:lang w:val="en-US"/>
        </w:rPr>
        <w:t>Government of Indonesia</w:t>
      </w:r>
      <w:r w:rsidRPr="00231326">
        <w:rPr>
          <w:sz w:val="22"/>
          <w:szCs w:val="22"/>
          <w:lang w:val="en-US"/>
        </w:rPr>
        <w:t> </w:t>
      </w:r>
      <w:r w:rsidR="00C72975" w:rsidRPr="00231326">
        <w:rPr>
          <w:rFonts w:ascii="Arial" w:hAnsi="Arial" w:cs="Arial"/>
          <w:sz w:val="22"/>
          <w:szCs w:val="22"/>
          <w:lang w:val="en-US"/>
        </w:rPr>
        <w:t>has committed</w:t>
      </w:r>
      <w:r w:rsidRPr="00231326">
        <w:rPr>
          <w:rFonts w:ascii="Arial" w:hAnsi="Arial" w:cs="Arial"/>
          <w:sz w:val="22"/>
          <w:szCs w:val="22"/>
          <w:lang w:val="en-US"/>
        </w:rPr>
        <w:t xml:space="preserve"> to promote transparency and public participation in budget and fiscal policies. Specifically: (</w:t>
      </w:r>
      <w:proofErr w:type="spellStart"/>
      <w:r w:rsidRPr="00231326">
        <w:rPr>
          <w:rFonts w:ascii="Arial" w:hAnsi="Arial" w:cs="Arial"/>
          <w:sz w:val="22"/>
          <w:szCs w:val="22"/>
          <w:lang w:val="en-US"/>
        </w:rPr>
        <w:t>i</w:t>
      </w:r>
      <w:proofErr w:type="spellEnd"/>
      <w:r w:rsidRPr="00231326">
        <w:rPr>
          <w:rFonts w:ascii="Arial" w:hAnsi="Arial" w:cs="Arial"/>
          <w:sz w:val="22"/>
          <w:szCs w:val="22"/>
          <w:lang w:val="en-US"/>
        </w:rPr>
        <w:t>)</w:t>
      </w:r>
      <w:r w:rsidR="00C72975" w:rsidRPr="00231326">
        <w:rPr>
          <w:sz w:val="22"/>
          <w:szCs w:val="22"/>
          <w:lang w:val="en-US"/>
        </w:rPr>
        <w:t xml:space="preserve"> [they]</w:t>
      </w:r>
      <w:r w:rsidRPr="00231326">
        <w:rPr>
          <w:rFonts w:ascii="Arial" w:hAnsi="Arial" w:cs="Arial"/>
          <w:sz w:val="22"/>
          <w:szCs w:val="22"/>
          <w:lang w:val="en-US"/>
        </w:rPr>
        <w:t xml:space="preserve"> commit to continue improving fiscal openness through the publishing of information in the fiscal transparency portal and encouraging its use. This commitment is also part of 2016- 2017 Indonesia NAP.</w:t>
      </w:r>
      <w:r w:rsidRPr="00231326">
        <w:rPr>
          <w:sz w:val="22"/>
          <w:szCs w:val="22"/>
          <w:lang w:val="en-US"/>
        </w:rPr>
        <w:t> </w:t>
      </w:r>
      <w:r w:rsidR="00C72975" w:rsidRPr="00231326">
        <w:rPr>
          <w:rFonts w:ascii="Arial" w:hAnsi="Arial" w:cs="Arial"/>
          <w:sz w:val="22"/>
          <w:szCs w:val="22"/>
          <w:lang w:val="en-US"/>
        </w:rPr>
        <w:t xml:space="preserve">(ii) [they] will share [their] </w:t>
      </w:r>
      <w:r w:rsidRPr="00231326">
        <w:rPr>
          <w:rFonts w:ascii="Arial" w:hAnsi="Arial" w:cs="Arial"/>
          <w:sz w:val="22"/>
          <w:szCs w:val="22"/>
          <w:lang w:val="en-US"/>
        </w:rPr>
        <w:t>best practices with other OGP countries through the Fiscal Openness working group.</w:t>
      </w:r>
      <w:r w:rsidR="00C72975" w:rsidRPr="00231326">
        <w:rPr>
          <w:rFonts w:ascii="Arial" w:hAnsi="Arial" w:cs="Arial"/>
          <w:sz w:val="22"/>
          <w:szCs w:val="22"/>
          <w:lang w:val="en-US"/>
        </w:rPr>
        <w:t xml:space="preserve"> Additionally, in endorsing the Paris Collective Action 7, “the</w:t>
      </w:r>
      <w:r w:rsidR="00C72975" w:rsidRPr="00231326">
        <w:rPr>
          <w:sz w:val="22"/>
          <w:szCs w:val="22"/>
          <w:lang w:val="en-US"/>
        </w:rPr>
        <w:t> </w:t>
      </w:r>
      <w:r w:rsidR="00C72975" w:rsidRPr="00231326">
        <w:rPr>
          <w:rFonts w:ascii="Arial" w:hAnsi="Arial" w:cs="Arial"/>
          <w:sz w:val="22"/>
          <w:szCs w:val="22"/>
          <w:lang w:val="en-US"/>
        </w:rPr>
        <w:t>Government of Uruguay, in collaboration with civil society organizations, will develop</w:t>
      </w:r>
      <w:r w:rsidR="00C72975" w:rsidRPr="00231326">
        <w:rPr>
          <w:sz w:val="22"/>
          <w:szCs w:val="22"/>
          <w:lang w:val="en-US"/>
        </w:rPr>
        <w:t> </w:t>
      </w:r>
      <w:r w:rsidR="00C72975" w:rsidRPr="00231326">
        <w:rPr>
          <w:rFonts w:ascii="Arial" w:hAnsi="Arial" w:cs="Arial"/>
          <w:sz w:val="22"/>
          <w:szCs w:val="22"/>
          <w:lang w:val="en-US"/>
        </w:rPr>
        <w:t>a budget transparency portal with detailed information on the planning and implementation of public resources, including non-state public entities.</w:t>
      </w:r>
      <w:r w:rsidR="00C72975" w:rsidRPr="00231326">
        <w:rPr>
          <w:sz w:val="22"/>
          <w:szCs w:val="22"/>
          <w:lang w:val="en-US"/>
        </w:rPr>
        <w:t> </w:t>
      </w:r>
      <w:r w:rsidR="00C72975" w:rsidRPr="00231326">
        <w:rPr>
          <w:rFonts w:ascii="Arial" w:hAnsi="Arial" w:cs="Arial"/>
          <w:sz w:val="22"/>
          <w:szCs w:val="22"/>
          <w:lang w:val="en-US"/>
        </w:rPr>
        <w:t>The</w:t>
      </w:r>
      <w:r w:rsidR="00C72975" w:rsidRPr="00231326">
        <w:rPr>
          <w:sz w:val="22"/>
          <w:szCs w:val="22"/>
          <w:lang w:val="en-US"/>
        </w:rPr>
        <w:t> </w:t>
      </w:r>
      <w:r w:rsidR="00C72975" w:rsidRPr="00231326">
        <w:rPr>
          <w:rFonts w:ascii="Arial" w:hAnsi="Arial" w:cs="Arial"/>
          <w:sz w:val="22"/>
          <w:szCs w:val="22"/>
          <w:lang w:val="en-US"/>
        </w:rPr>
        <w:t>Government of Uruguay</w:t>
      </w:r>
      <w:r w:rsidR="00C72975" w:rsidRPr="00231326">
        <w:rPr>
          <w:sz w:val="22"/>
          <w:szCs w:val="22"/>
          <w:lang w:val="en-US"/>
        </w:rPr>
        <w:t> </w:t>
      </w:r>
      <w:r w:rsidR="00C72975" w:rsidRPr="00231326">
        <w:rPr>
          <w:rFonts w:ascii="Arial" w:hAnsi="Arial" w:cs="Arial"/>
          <w:sz w:val="22"/>
          <w:szCs w:val="22"/>
          <w:lang w:val="en-US"/>
        </w:rPr>
        <w:t>will share its learning and good practices in open budget experiences.” This is a process that GIFT has been supporting since 2016. </w:t>
      </w:r>
    </w:p>
    <w:p w14:paraId="7DC69628" w14:textId="77777777" w:rsidR="00A502AC" w:rsidRPr="00231326" w:rsidRDefault="00A502AC" w:rsidP="00A502AC">
      <w:pPr>
        <w:pStyle w:val="Sinespaciado"/>
        <w:rPr>
          <w:rFonts w:ascii="Arial" w:hAnsi="Arial"/>
          <w:sz w:val="22"/>
          <w:szCs w:val="22"/>
          <w:u w:val="single"/>
        </w:rPr>
      </w:pPr>
    </w:p>
    <w:p w14:paraId="4EE4B521" w14:textId="043A7B32" w:rsidR="00DF0AD5" w:rsidRPr="00C36D35" w:rsidRDefault="00DF0AD5" w:rsidP="00DF0AD5">
      <w:pPr>
        <w:rPr>
          <w:rFonts w:ascii="Arial" w:hAnsi="Arial"/>
          <w:color w:val="FF3300"/>
          <w:sz w:val="22"/>
          <w:szCs w:val="22"/>
          <w:u w:val="single"/>
        </w:rPr>
      </w:pPr>
      <w:r w:rsidRPr="00C36D35">
        <w:rPr>
          <w:rFonts w:ascii="Arial" w:hAnsi="Arial"/>
          <w:color w:val="FF3300"/>
          <w:sz w:val="22"/>
          <w:szCs w:val="22"/>
          <w:u w:val="single"/>
        </w:rPr>
        <w:t>Peer learning networks (first semester 2017)</w:t>
      </w:r>
    </w:p>
    <w:p w14:paraId="626602EE" w14:textId="6BC8A965" w:rsidR="00BE0BB3" w:rsidRPr="00231326" w:rsidRDefault="00BE0BB3" w:rsidP="00DF0AD5">
      <w:pPr>
        <w:rPr>
          <w:rFonts w:ascii="Arial" w:hAnsi="Arial"/>
          <w:sz w:val="22"/>
          <w:szCs w:val="22"/>
          <w:u w:val="single"/>
        </w:rPr>
      </w:pPr>
    </w:p>
    <w:p w14:paraId="0C176AE7" w14:textId="773D65C2" w:rsidR="00BE0BB3" w:rsidRPr="00231326" w:rsidRDefault="00F923EF" w:rsidP="00DF0AD5">
      <w:pPr>
        <w:rPr>
          <w:rFonts w:ascii="Arial" w:hAnsi="Arial"/>
          <w:sz w:val="22"/>
          <w:szCs w:val="22"/>
        </w:rPr>
      </w:pPr>
      <w:r w:rsidRPr="00231326">
        <w:rPr>
          <w:rFonts w:ascii="Arial" w:hAnsi="Arial"/>
          <w:sz w:val="22"/>
          <w:szCs w:val="22"/>
        </w:rPr>
        <w:t>As described below, d</w:t>
      </w:r>
      <w:r w:rsidR="0041741C" w:rsidRPr="00231326">
        <w:rPr>
          <w:rFonts w:ascii="Arial" w:hAnsi="Arial"/>
          <w:sz w:val="22"/>
          <w:szCs w:val="22"/>
        </w:rPr>
        <w:t>uring the first semester</w:t>
      </w:r>
      <w:r w:rsidR="0029296C" w:rsidRPr="00231326">
        <w:rPr>
          <w:rFonts w:ascii="Arial" w:hAnsi="Arial"/>
          <w:sz w:val="22"/>
          <w:szCs w:val="22"/>
        </w:rPr>
        <w:t xml:space="preserve"> of 2017</w:t>
      </w:r>
      <w:r w:rsidR="00BE0BB3" w:rsidRPr="00231326">
        <w:rPr>
          <w:rFonts w:ascii="Arial" w:hAnsi="Arial"/>
          <w:sz w:val="22"/>
          <w:szCs w:val="22"/>
        </w:rPr>
        <w:t>, GIFT will</w:t>
      </w:r>
      <w:r w:rsidR="002A648F" w:rsidRPr="00231326">
        <w:rPr>
          <w:rFonts w:ascii="Arial" w:hAnsi="Arial"/>
          <w:sz w:val="22"/>
          <w:szCs w:val="22"/>
        </w:rPr>
        <w:t xml:space="preserve"> organize</w:t>
      </w:r>
      <w:r w:rsidRPr="00231326">
        <w:rPr>
          <w:rFonts w:ascii="Arial" w:hAnsi="Arial"/>
          <w:sz w:val="22"/>
          <w:szCs w:val="22"/>
        </w:rPr>
        <w:t xml:space="preserve"> a series of</w:t>
      </w:r>
      <w:r w:rsidR="002A648F" w:rsidRPr="00231326">
        <w:rPr>
          <w:rFonts w:ascii="Arial" w:hAnsi="Arial"/>
          <w:sz w:val="22"/>
          <w:szCs w:val="22"/>
        </w:rPr>
        <w:t xml:space="preserve"> FOWG </w:t>
      </w:r>
      <w:r w:rsidR="008C00FA" w:rsidRPr="00231326">
        <w:rPr>
          <w:rFonts w:ascii="Arial" w:hAnsi="Arial"/>
          <w:sz w:val="22"/>
          <w:szCs w:val="22"/>
        </w:rPr>
        <w:t xml:space="preserve">events </w:t>
      </w:r>
      <w:r w:rsidRPr="00231326">
        <w:rPr>
          <w:rFonts w:ascii="Arial" w:hAnsi="Arial"/>
          <w:sz w:val="22"/>
          <w:szCs w:val="22"/>
        </w:rPr>
        <w:t>in three</w:t>
      </w:r>
      <w:r w:rsidR="008C00FA" w:rsidRPr="00231326">
        <w:rPr>
          <w:rFonts w:ascii="Arial" w:hAnsi="Arial"/>
          <w:sz w:val="22"/>
          <w:szCs w:val="22"/>
        </w:rPr>
        <w:t xml:space="preserve"> regions of the world</w:t>
      </w:r>
      <w:r w:rsidRPr="00231326">
        <w:rPr>
          <w:rFonts w:ascii="Arial" w:hAnsi="Arial"/>
          <w:sz w:val="22"/>
          <w:szCs w:val="22"/>
        </w:rPr>
        <w:t xml:space="preserve"> (Americas, Asia and Europe)</w:t>
      </w:r>
      <w:r w:rsidR="00ED3764" w:rsidRPr="00231326">
        <w:rPr>
          <w:rFonts w:ascii="Arial" w:hAnsi="Arial"/>
          <w:sz w:val="22"/>
          <w:szCs w:val="22"/>
        </w:rPr>
        <w:t xml:space="preserve">. </w:t>
      </w:r>
    </w:p>
    <w:p w14:paraId="76F1015A" w14:textId="07DF8F1C" w:rsidR="008C00FA" w:rsidRPr="00231326" w:rsidRDefault="008C00FA" w:rsidP="00DF0AD5">
      <w:pPr>
        <w:rPr>
          <w:rFonts w:ascii="Arial" w:hAnsi="Arial"/>
          <w:sz w:val="22"/>
          <w:szCs w:val="22"/>
        </w:rPr>
      </w:pPr>
    </w:p>
    <w:p w14:paraId="0DB6FCBB" w14:textId="76E66387" w:rsidR="008C00FA" w:rsidRPr="00231326" w:rsidRDefault="008C00FA" w:rsidP="008C00FA">
      <w:pPr>
        <w:shd w:val="clear" w:color="auto" w:fill="FFFFFF"/>
        <w:suppressAutoHyphens w:val="0"/>
        <w:rPr>
          <w:rFonts w:ascii="Arial" w:eastAsia="Times New Roman" w:hAnsi="Arial" w:cs="Arial"/>
          <w:color w:val="222222"/>
          <w:sz w:val="22"/>
          <w:szCs w:val="22"/>
          <w:lang w:eastAsia="es-MX"/>
        </w:rPr>
      </w:pPr>
      <w:r w:rsidRPr="00231326">
        <w:rPr>
          <w:rFonts w:ascii="Arial" w:hAnsi="Arial"/>
          <w:sz w:val="22"/>
          <w:szCs w:val="22"/>
        </w:rPr>
        <w:t xml:space="preserve">Americas: </w:t>
      </w:r>
    </w:p>
    <w:p w14:paraId="131F49C2" w14:textId="099E6684" w:rsidR="00C00A50" w:rsidRPr="00231326" w:rsidRDefault="00F923EF" w:rsidP="00C00A50">
      <w:pPr>
        <w:pStyle w:val="Prrafodelista"/>
        <w:numPr>
          <w:ilvl w:val="3"/>
          <w:numId w:val="1"/>
        </w:numPr>
        <w:shd w:val="clear" w:color="auto" w:fill="FFFFFF"/>
        <w:suppressAutoHyphens w:val="0"/>
        <w:ind w:left="426" w:hanging="426"/>
        <w:rPr>
          <w:rFonts w:ascii="Arial" w:eastAsia="Times New Roman" w:hAnsi="Arial" w:cs="Arial"/>
          <w:color w:val="222222"/>
          <w:sz w:val="22"/>
          <w:szCs w:val="22"/>
          <w:lang w:eastAsia="es-MX"/>
        </w:rPr>
      </w:pPr>
      <w:r w:rsidRPr="00231326">
        <w:rPr>
          <w:rFonts w:ascii="Arial" w:eastAsia="Times New Roman" w:hAnsi="Arial" w:cs="Arial"/>
          <w:color w:val="222222"/>
          <w:sz w:val="22"/>
          <w:szCs w:val="22"/>
          <w:lang w:eastAsia="es-MX"/>
        </w:rPr>
        <w:t>April</w:t>
      </w:r>
      <w:r w:rsidR="004867B2" w:rsidRPr="00231326">
        <w:rPr>
          <w:rFonts w:ascii="Arial" w:eastAsia="Times New Roman" w:hAnsi="Arial" w:cs="Arial"/>
          <w:color w:val="222222"/>
          <w:sz w:val="22"/>
          <w:szCs w:val="22"/>
          <w:lang w:eastAsia="es-MX"/>
        </w:rPr>
        <w:t xml:space="preserve"> </w:t>
      </w:r>
      <w:r w:rsidRPr="00231326">
        <w:rPr>
          <w:rFonts w:ascii="Arial" w:eastAsia="Times New Roman" w:hAnsi="Arial" w:cs="Arial"/>
          <w:color w:val="222222"/>
          <w:sz w:val="22"/>
          <w:szCs w:val="22"/>
          <w:lang w:eastAsia="es-MX"/>
        </w:rPr>
        <w:t xml:space="preserve">- </w:t>
      </w:r>
      <w:r w:rsidR="00C00A50" w:rsidRPr="00231326">
        <w:rPr>
          <w:rFonts w:ascii="Arial" w:eastAsia="Times New Roman" w:hAnsi="Arial" w:cs="Arial"/>
          <w:color w:val="222222"/>
          <w:sz w:val="22"/>
          <w:szCs w:val="22"/>
          <w:lang w:eastAsia="es-MX"/>
        </w:rPr>
        <w:t>Colombia</w:t>
      </w:r>
      <w:r w:rsidRPr="00231326">
        <w:rPr>
          <w:rFonts w:ascii="Arial" w:eastAsia="Times New Roman" w:hAnsi="Arial" w:cs="Arial"/>
          <w:color w:val="222222"/>
          <w:sz w:val="22"/>
          <w:szCs w:val="22"/>
          <w:lang w:eastAsia="es-MX"/>
        </w:rPr>
        <w:t>:</w:t>
      </w:r>
      <w:r w:rsidR="00C00A50" w:rsidRPr="00231326">
        <w:rPr>
          <w:rFonts w:ascii="Arial" w:eastAsia="Times New Roman" w:hAnsi="Arial" w:cs="Arial"/>
          <w:color w:val="222222"/>
          <w:sz w:val="22"/>
          <w:szCs w:val="22"/>
          <w:lang w:eastAsia="es-MX"/>
        </w:rPr>
        <w:t xml:space="preserve"> Responding to a collaboration with OGP’s Legislative Openness Working Group, GIFT will participate in </w:t>
      </w:r>
      <w:r w:rsidRPr="00231326">
        <w:rPr>
          <w:rFonts w:ascii="Arial" w:eastAsia="Times New Roman" w:hAnsi="Arial" w:cs="Arial"/>
          <w:color w:val="222222"/>
          <w:sz w:val="22"/>
          <w:szCs w:val="22"/>
          <w:lang w:eastAsia="es-MX"/>
        </w:rPr>
        <w:t>the regional workshop Parliamentary Integrity: Anticorruption Measures and Open Budgets to Build Trust. GIFT will organize a panel with experts on public participation in fiscal policy</w:t>
      </w:r>
      <w:r w:rsidR="002277A0" w:rsidRPr="00231326">
        <w:rPr>
          <w:rFonts w:ascii="Arial" w:eastAsia="Times New Roman" w:hAnsi="Arial" w:cs="Arial"/>
          <w:color w:val="222222"/>
          <w:sz w:val="22"/>
          <w:szCs w:val="22"/>
          <w:lang w:eastAsia="es-MX"/>
        </w:rPr>
        <w:t xml:space="preserve"> and in the Open Budget Survey (5 international participants)</w:t>
      </w:r>
    </w:p>
    <w:p w14:paraId="19E6027F" w14:textId="40B6487E" w:rsidR="00F923EF" w:rsidRPr="00231326" w:rsidRDefault="00F923EF" w:rsidP="00F923EF">
      <w:pPr>
        <w:pStyle w:val="Prrafodelista"/>
        <w:numPr>
          <w:ilvl w:val="3"/>
          <w:numId w:val="1"/>
        </w:numPr>
        <w:shd w:val="clear" w:color="auto" w:fill="FFFFFF"/>
        <w:suppressAutoHyphens w:val="0"/>
        <w:ind w:left="426" w:hanging="426"/>
        <w:rPr>
          <w:rFonts w:ascii="Arial" w:eastAsia="Times New Roman" w:hAnsi="Arial" w:cs="Arial"/>
          <w:color w:val="222222"/>
          <w:sz w:val="22"/>
          <w:szCs w:val="22"/>
          <w:lang w:eastAsia="es-MX"/>
        </w:rPr>
      </w:pPr>
      <w:r w:rsidRPr="00231326">
        <w:rPr>
          <w:rFonts w:ascii="Arial" w:eastAsia="Times New Roman" w:hAnsi="Arial" w:cs="Arial"/>
          <w:color w:val="222222"/>
          <w:sz w:val="22"/>
          <w:szCs w:val="22"/>
          <w:lang w:eastAsia="es-MX"/>
        </w:rPr>
        <w:t>May- Paraguay:</w:t>
      </w:r>
      <w:r w:rsidR="00C00A50" w:rsidRPr="00231326">
        <w:rPr>
          <w:rFonts w:ascii="Arial" w:eastAsia="Times New Roman" w:hAnsi="Arial" w:cs="Arial"/>
          <w:color w:val="222222"/>
          <w:sz w:val="22"/>
          <w:szCs w:val="22"/>
          <w:lang w:eastAsia="es-MX"/>
        </w:rPr>
        <w:t xml:space="preserve"> </w:t>
      </w:r>
      <w:r w:rsidR="008A6009" w:rsidRPr="00231326">
        <w:rPr>
          <w:rFonts w:ascii="Arial" w:eastAsia="Times New Roman" w:hAnsi="Arial" w:cs="Arial"/>
          <w:color w:val="222222"/>
          <w:sz w:val="22"/>
          <w:szCs w:val="22"/>
          <w:lang w:eastAsia="es-MX"/>
        </w:rPr>
        <w:t xml:space="preserve">In collaboration with the Planning &amp; Development Secretariat of Paraguay and the World Bank, GIFT will host a </w:t>
      </w:r>
      <w:r w:rsidR="008C00FA" w:rsidRPr="00231326">
        <w:rPr>
          <w:rFonts w:ascii="Arial" w:eastAsia="Times New Roman" w:hAnsi="Arial" w:cs="Arial"/>
          <w:color w:val="222222"/>
          <w:sz w:val="22"/>
          <w:szCs w:val="22"/>
          <w:lang w:eastAsia="es-MX"/>
        </w:rPr>
        <w:t>Fiscal Openness Working Group workshop</w:t>
      </w:r>
      <w:r w:rsidR="00C00A50" w:rsidRPr="00231326">
        <w:rPr>
          <w:rFonts w:ascii="Arial" w:eastAsia="Times New Roman" w:hAnsi="Arial" w:cs="Arial"/>
          <w:color w:val="222222"/>
          <w:sz w:val="22"/>
          <w:szCs w:val="22"/>
          <w:lang w:eastAsia="es-MX"/>
        </w:rPr>
        <w:t xml:space="preserve"> followed by a pubic seminar</w:t>
      </w:r>
      <w:r w:rsidR="008C00FA" w:rsidRPr="00231326">
        <w:rPr>
          <w:rFonts w:ascii="Arial" w:eastAsia="Times New Roman" w:hAnsi="Arial" w:cs="Arial"/>
          <w:color w:val="222222"/>
          <w:sz w:val="22"/>
          <w:szCs w:val="22"/>
          <w:lang w:eastAsia="es-MX"/>
        </w:rPr>
        <w:t xml:space="preserve"> in Asunci</w:t>
      </w:r>
      <w:r w:rsidR="00C00A50" w:rsidRPr="00231326">
        <w:rPr>
          <w:rFonts w:ascii="Arial" w:eastAsia="Times New Roman" w:hAnsi="Arial" w:cs="Arial"/>
          <w:color w:val="222222"/>
          <w:sz w:val="22"/>
          <w:szCs w:val="22"/>
          <w:lang w:eastAsia="es-MX"/>
        </w:rPr>
        <w:t>ón</w:t>
      </w:r>
      <w:r w:rsidR="008A6009" w:rsidRPr="00231326">
        <w:rPr>
          <w:rFonts w:ascii="Arial" w:eastAsia="Times New Roman" w:hAnsi="Arial" w:cs="Arial"/>
          <w:color w:val="222222"/>
          <w:sz w:val="22"/>
          <w:szCs w:val="22"/>
          <w:lang w:eastAsia="es-MX"/>
        </w:rPr>
        <w:t>. The agenda will focus in pro</w:t>
      </w:r>
      <w:r w:rsidR="00C00A50" w:rsidRPr="00231326">
        <w:rPr>
          <w:rFonts w:ascii="Arial" w:eastAsia="Times New Roman" w:hAnsi="Arial" w:cs="Arial"/>
          <w:color w:val="222222"/>
          <w:sz w:val="22"/>
          <w:szCs w:val="22"/>
          <w:lang w:eastAsia="es-MX"/>
        </w:rPr>
        <w:t xml:space="preserve">moting access to information, fiscal transparency, </w:t>
      </w:r>
      <w:r w:rsidR="008A6009" w:rsidRPr="00231326">
        <w:rPr>
          <w:rFonts w:ascii="Arial" w:eastAsia="Times New Roman" w:hAnsi="Arial" w:cs="Arial"/>
          <w:color w:val="222222"/>
          <w:sz w:val="22"/>
          <w:szCs w:val="22"/>
          <w:lang w:eastAsia="es-MX"/>
        </w:rPr>
        <w:t>proactive publication of fiscal and budget i</w:t>
      </w:r>
      <w:r w:rsidR="00C00A50" w:rsidRPr="00231326">
        <w:rPr>
          <w:rFonts w:ascii="Arial" w:eastAsia="Times New Roman" w:hAnsi="Arial" w:cs="Arial"/>
          <w:color w:val="222222"/>
          <w:sz w:val="22"/>
          <w:szCs w:val="22"/>
          <w:lang w:eastAsia="es-MX"/>
        </w:rPr>
        <w:t xml:space="preserve">nformation in open data format, and public participation, by reviewing international experiences that serve as practical examples. The FOWG will seek to </w:t>
      </w:r>
      <w:r w:rsidR="008C00FA" w:rsidRPr="00231326">
        <w:rPr>
          <w:rFonts w:ascii="Arial" w:eastAsia="Times New Roman" w:hAnsi="Arial" w:cs="Arial"/>
          <w:color w:val="222222"/>
          <w:sz w:val="22"/>
          <w:szCs w:val="22"/>
          <w:lang w:eastAsia="es-MX"/>
        </w:rPr>
        <w:t>include Argentina and Colombia (</w:t>
      </w:r>
      <w:r w:rsidR="00C00A50" w:rsidRPr="00231326">
        <w:rPr>
          <w:rFonts w:ascii="Arial" w:eastAsia="Times New Roman" w:hAnsi="Arial" w:cs="Arial"/>
          <w:color w:val="222222"/>
          <w:sz w:val="22"/>
          <w:szCs w:val="22"/>
          <w:lang w:eastAsia="es-MX"/>
        </w:rPr>
        <w:t xml:space="preserve">both </w:t>
      </w:r>
      <w:r w:rsidR="008C00FA" w:rsidRPr="00231326">
        <w:rPr>
          <w:rFonts w:ascii="Arial" w:eastAsia="Times New Roman" w:hAnsi="Arial" w:cs="Arial"/>
          <w:color w:val="222222"/>
          <w:sz w:val="22"/>
          <w:szCs w:val="22"/>
          <w:lang w:eastAsia="es-MX"/>
        </w:rPr>
        <w:t xml:space="preserve">countries working on their new NAP). </w:t>
      </w:r>
      <w:r w:rsidR="002277A0" w:rsidRPr="00231326">
        <w:rPr>
          <w:rFonts w:ascii="Arial" w:eastAsia="Times New Roman" w:hAnsi="Arial" w:cs="Arial"/>
          <w:color w:val="222222"/>
          <w:sz w:val="22"/>
          <w:szCs w:val="22"/>
          <w:lang w:eastAsia="es-MX"/>
        </w:rPr>
        <w:t>(12 international participants)</w:t>
      </w:r>
    </w:p>
    <w:p w14:paraId="2681E22A" w14:textId="5BBBA30D" w:rsidR="008C00FA" w:rsidRPr="00231326" w:rsidRDefault="00F923EF" w:rsidP="004867B2">
      <w:pPr>
        <w:pStyle w:val="Prrafodelista"/>
        <w:numPr>
          <w:ilvl w:val="3"/>
          <w:numId w:val="1"/>
        </w:numPr>
        <w:shd w:val="clear" w:color="auto" w:fill="FFFFFF"/>
        <w:suppressAutoHyphens w:val="0"/>
        <w:ind w:left="426" w:hanging="426"/>
        <w:rPr>
          <w:rFonts w:ascii="Arial" w:hAnsi="Arial"/>
          <w:sz w:val="22"/>
          <w:szCs w:val="22"/>
        </w:rPr>
      </w:pPr>
      <w:r w:rsidRPr="00231326">
        <w:rPr>
          <w:rFonts w:ascii="Arial" w:eastAsia="Times New Roman" w:hAnsi="Arial" w:cs="Arial"/>
          <w:color w:val="222222"/>
          <w:sz w:val="22"/>
          <w:szCs w:val="22"/>
          <w:lang w:eastAsia="es-MX"/>
        </w:rPr>
        <w:t xml:space="preserve">Date to be defined – Uruguay: GIFT plans to support its Steward, the Office of Planning and Budget, </w:t>
      </w:r>
      <w:r w:rsidR="004867B2" w:rsidRPr="00231326">
        <w:rPr>
          <w:rFonts w:ascii="Arial" w:eastAsia="Times New Roman" w:hAnsi="Arial" w:cs="Arial"/>
          <w:color w:val="222222"/>
          <w:sz w:val="22"/>
          <w:szCs w:val="22"/>
          <w:lang w:eastAsia="es-MX"/>
        </w:rPr>
        <w:t>in launching their new fiscal transparency porta</w:t>
      </w:r>
      <w:r w:rsidR="002277A0" w:rsidRPr="00231326">
        <w:rPr>
          <w:rFonts w:ascii="Arial" w:eastAsia="Times New Roman" w:hAnsi="Arial" w:cs="Arial"/>
          <w:color w:val="222222"/>
          <w:sz w:val="22"/>
          <w:szCs w:val="22"/>
          <w:lang w:eastAsia="es-MX"/>
        </w:rPr>
        <w:t>l (5 international participants)</w:t>
      </w:r>
    </w:p>
    <w:p w14:paraId="26824C5B" w14:textId="2A10F06E" w:rsidR="004867B2" w:rsidRPr="00231326" w:rsidRDefault="004867B2" w:rsidP="004867B2">
      <w:pPr>
        <w:shd w:val="clear" w:color="auto" w:fill="FFFFFF"/>
        <w:suppressAutoHyphens w:val="0"/>
        <w:rPr>
          <w:rFonts w:ascii="Arial" w:hAnsi="Arial"/>
          <w:sz w:val="22"/>
          <w:szCs w:val="22"/>
        </w:rPr>
      </w:pPr>
    </w:p>
    <w:p w14:paraId="66E47085" w14:textId="1624D3E9" w:rsidR="004867B2" w:rsidRPr="00231326" w:rsidRDefault="004867B2" w:rsidP="004867B2">
      <w:pPr>
        <w:shd w:val="clear" w:color="auto" w:fill="FFFFFF"/>
        <w:suppressAutoHyphens w:val="0"/>
        <w:rPr>
          <w:rFonts w:ascii="Arial" w:hAnsi="Arial"/>
          <w:sz w:val="22"/>
          <w:szCs w:val="22"/>
        </w:rPr>
      </w:pPr>
      <w:r w:rsidRPr="00231326">
        <w:rPr>
          <w:rFonts w:ascii="Arial" w:hAnsi="Arial"/>
          <w:sz w:val="22"/>
          <w:szCs w:val="22"/>
        </w:rPr>
        <w:t>Asia:</w:t>
      </w:r>
    </w:p>
    <w:p w14:paraId="749B5737" w14:textId="082A5FAE" w:rsidR="00DF0AD5" w:rsidRPr="00231326" w:rsidRDefault="004867B2" w:rsidP="00DF0AD5">
      <w:pPr>
        <w:pStyle w:val="Prrafodelista"/>
        <w:numPr>
          <w:ilvl w:val="3"/>
          <w:numId w:val="1"/>
        </w:numPr>
        <w:shd w:val="clear" w:color="auto" w:fill="FFFFFF"/>
        <w:suppressAutoHyphens w:val="0"/>
        <w:ind w:left="426" w:hanging="426"/>
        <w:rPr>
          <w:rFonts w:ascii="Arial" w:hAnsi="Arial"/>
          <w:sz w:val="22"/>
          <w:szCs w:val="22"/>
        </w:rPr>
      </w:pPr>
      <w:r w:rsidRPr="00231326">
        <w:rPr>
          <w:rFonts w:ascii="Arial" w:hAnsi="Arial"/>
          <w:sz w:val="22"/>
          <w:szCs w:val="22"/>
        </w:rPr>
        <w:t xml:space="preserve">Date to de defined – Sri Lanka: In collaboration with the OGP Support Unit, GIFT will lead the organization of a FOWG workshop, seeking to also include representatives from </w:t>
      </w:r>
      <w:r w:rsidRPr="00231326">
        <w:rPr>
          <w:rFonts w:ascii="Arial" w:eastAsia="Times New Roman" w:hAnsi="Arial" w:cs="Arial"/>
          <w:color w:val="222222"/>
          <w:sz w:val="22"/>
          <w:szCs w:val="22"/>
          <w:lang w:eastAsia="es-MX"/>
        </w:rPr>
        <w:t xml:space="preserve">Pakistan, Afghanistan and Mongolia to discuss access to information and proactive disclosure of fiscal information. </w:t>
      </w:r>
      <w:r w:rsidR="002973FB" w:rsidRPr="00231326">
        <w:rPr>
          <w:rFonts w:ascii="Arial" w:eastAsia="Times New Roman" w:hAnsi="Arial" w:cs="Arial"/>
          <w:color w:val="222222"/>
          <w:sz w:val="22"/>
          <w:szCs w:val="22"/>
          <w:lang w:eastAsia="es-MX"/>
        </w:rPr>
        <w:t xml:space="preserve">GIFT is working to bring </w:t>
      </w:r>
      <w:r w:rsidRPr="00231326">
        <w:rPr>
          <w:rFonts w:ascii="Arial" w:eastAsia="Times New Roman" w:hAnsi="Arial" w:cs="Arial"/>
          <w:color w:val="222222"/>
          <w:sz w:val="22"/>
          <w:szCs w:val="22"/>
          <w:lang w:eastAsia="es-MX"/>
        </w:rPr>
        <w:t>in the World Bank</w:t>
      </w:r>
      <w:r w:rsidR="002973FB" w:rsidRPr="00231326">
        <w:rPr>
          <w:rFonts w:ascii="Arial" w:eastAsia="Times New Roman" w:hAnsi="Arial" w:cs="Arial"/>
          <w:color w:val="222222"/>
          <w:sz w:val="22"/>
          <w:szCs w:val="22"/>
          <w:lang w:eastAsia="es-MX"/>
        </w:rPr>
        <w:t>, as well as CSO colleagues.</w:t>
      </w:r>
      <w:r w:rsidR="005101F9" w:rsidRPr="00231326">
        <w:rPr>
          <w:rFonts w:ascii="Arial" w:eastAsia="Times New Roman" w:hAnsi="Arial" w:cs="Arial"/>
          <w:color w:val="222222"/>
          <w:sz w:val="22"/>
          <w:szCs w:val="22"/>
          <w:lang w:eastAsia="es-MX"/>
        </w:rPr>
        <w:t xml:space="preserve"> (15 international participants)</w:t>
      </w:r>
    </w:p>
    <w:p w14:paraId="14174BDF" w14:textId="77777777" w:rsidR="00DF0AD5" w:rsidRPr="00231326" w:rsidRDefault="00DF0AD5" w:rsidP="00DF0AD5">
      <w:pPr>
        <w:shd w:val="clear" w:color="auto" w:fill="FFFFFF"/>
        <w:suppressAutoHyphens w:val="0"/>
        <w:rPr>
          <w:rFonts w:ascii="Arial" w:eastAsia="Times New Roman" w:hAnsi="Arial" w:cs="Arial"/>
          <w:color w:val="222222"/>
          <w:sz w:val="22"/>
          <w:szCs w:val="22"/>
          <w:lang w:eastAsia="es-MX"/>
        </w:rPr>
      </w:pPr>
    </w:p>
    <w:p w14:paraId="6F08EAE0" w14:textId="4FCE4845" w:rsidR="00DF0AD5" w:rsidRPr="00231326" w:rsidRDefault="002973FB" w:rsidP="00DF0AD5">
      <w:pPr>
        <w:shd w:val="clear" w:color="auto" w:fill="FFFFFF"/>
        <w:suppressAutoHyphens w:val="0"/>
        <w:rPr>
          <w:rFonts w:ascii="Arial" w:eastAsia="Times New Roman" w:hAnsi="Arial" w:cs="Arial"/>
          <w:color w:val="222222"/>
          <w:sz w:val="22"/>
          <w:szCs w:val="22"/>
          <w:lang w:eastAsia="es-MX"/>
        </w:rPr>
      </w:pPr>
      <w:r w:rsidRPr="00231326">
        <w:rPr>
          <w:rFonts w:ascii="Arial" w:eastAsia="Times New Roman" w:hAnsi="Arial" w:cs="Arial"/>
          <w:color w:val="222222"/>
          <w:sz w:val="22"/>
          <w:szCs w:val="22"/>
          <w:lang w:eastAsia="es-MX"/>
        </w:rPr>
        <w:t>Europe:</w:t>
      </w:r>
    </w:p>
    <w:p w14:paraId="19988AA6" w14:textId="13B2EC69" w:rsidR="005101F9" w:rsidRPr="00231326" w:rsidRDefault="002973FB" w:rsidP="005101F9">
      <w:pPr>
        <w:pStyle w:val="Prrafodelista"/>
        <w:numPr>
          <w:ilvl w:val="3"/>
          <w:numId w:val="1"/>
        </w:numPr>
        <w:shd w:val="clear" w:color="auto" w:fill="FFFFFF"/>
        <w:suppressAutoHyphens w:val="0"/>
        <w:ind w:left="426" w:hanging="426"/>
        <w:rPr>
          <w:rFonts w:ascii="Arial" w:eastAsia="Times New Roman" w:hAnsi="Arial" w:cs="Arial"/>
          <w:color w:val="222222"/>
          <w:sz w:val="22"/>
          <w:szCs w:val="22"/>
          <w:lang w:eastAsia="es-MX"/>
        </w:rPr>
      </w:pPr>
      <w:r w:rsidRPr="00231326">
        <w:rPr>
          <w:rFonts w:ascii="Arial" w:eastAsia="Times New Roman" w:hAnsi="Arial" w:cs="Arial"/>
          <w:color w:val="222222"/>
          <w:sz w:val="22"/>
          <w:szCs w:val="22"/>
          <w:lang w:eastAsia="es-MX"/>
        </w:rPr>
        <w:t xml:space="preserve">May- Slovenia. GIFT will co-host </w:t>
      </w:r>
      <w:r w:rsidR="00547B39" w:rsidRPr="00231326">
        <w:rPr>
          <w:rFonts w:ascii="Arial" w:eastAsia="Times New Roman" w:hAnsi="Arial" w:cs="Arial"/>
          <w:color w:val="222222"/>
          <w:sz w:val="22"/>
          <w:szCs w:val="22"/>
          <w:lang w:eastAsia="es-MX"/>
        </w:rPr>
        <w:t xml:space="preserve">with Slovenia’s Court of Audit </w:t>
      </w:r>
      <w:r w:rsidRPr="00231326">
        <w:rPr>
          <w:rFonts w:ascii="Arial" w:eastAsia="Times New Roman" w:hAnsi="Arial" w:cs="Arial"/>
          <w:color w:val="222222"/>
          <w:sz w:val="22"/>
          <w:szCs w:val="22"/>
          <w:lang w:eastAsia="es-MX"/>
        </w:rPr>
        <w:t>a</w:t>
      </w:r>
      <w:r w:rsidR="00547B39" w:rsidRPr="00231326">
        <w:rPr>
          <w:rFonts w:ascii="Arial" w:eastAsia="Times New Roman" w:hAnsi="Arial" w:cs="Arial"/>
          <w:color w:val="222222"/>
          <w:sz w:val="22"/>
          <w:szCs w:val="22"/>
          <w:lang w:eastAsia="es-MX"/>
        </w:rPr>
        <w:t xml:space="preserve"> FOWG Balkans/Central Europe R</w:t>
      </w:r>
      <w:r w:rsidRPr="00231326">
        <w:rPr>
          <w:rFonts w:ascii="Arial" w:eastAsia="Times New Roman" w:hAnsi="Arial" w:cs="Arial"/>
          <w:color w:val="222222"/>
          <w:sz w:val="22"/>
          <w:szCs w:val="22"/>
          <w:lang w:eastAsia="es-MX"/>
        </w:rPr>
        <w:t>egional</w:t>
      </w:r>
      <w:r w:rsidR="00547B39" w:rsidRPr="00231326">
        <w:rPr>
          <w:rFonts w:ascii="Arial" w:eastAsia="Times New Roman" w:hAnsi="Arial" w:cs="Arial"/>
          <w:color w:val="222222"/>
          <w:sz w:val="22"/>
          <w:szCs w:val="22"/>
          <w:lang w:eastAsia="es-MX"/>
        </w:rPr>
        <w:t xml:space="preserve"> Conference on Participatory Budgeting. Participating countries will include </w:t>
      </w:r>
      <w:r w:rsidRPr="00231326">
        <w:rPr>
          <w:rFonts w:ascii="Arial" w:eastAsia="Times New Roman" w:hAnsi="Arial" w:cs="Arial"/>
          <w:color w:val="222222"/>
          <w:sz w:val="22"/>
          <w:szCs w:val="22"/>
          <w:lang w:eastAsia="es-MX"/>
        </w:rPr>
        <w:t>Croatia (new GIFT steward)</w:t>
      </w:r>
      <w:r w:rsidR="00DF0AD5" w:rsidRPr="00231326">
        <w:rPr>
          <w:rFonts w:ascii="Arial" w:eastAsia="Times New Roman" w:hAnsi="Arial" w:cs="Arial"/>
          <w:color w:val="222222"/>
          <w:sz w:val="22"/>
          <w:szCs w:val="22"/>
          <w:lang w:eastAsia="es-MX"/>
        </w:rPr>
        <w:t xml:space="preserve"> and Bosni</w:t>
      </w:r>
      <w:r w:rsidRPr="00231326">
        <w:rPr>
          <w:rFonts w:ascii="Arial" w:eastAsia="Times New Roman" w:hAnsi="Arial" w:cs="Arial"/>
          <w:color w:val="222222"/>
          <w:sz w:val="22"/>
          <w:szCs w:val="22"/>
          <w:lang w:eastAsia="es-MX"/>
        </w:rPr>
        <w:t>a</w:t>
      </w:r>
      <w:r w:rsidR="001A7C85" w:rsidRPr="00231326">
        <w:rPr>
          <w:rFonts w:ascii="Arial" w:eastAsia="Times New Roman" w:hAnsi="Arial" w:cs="Arial"/>
          <w:color w:val="222222"/>
          <w:sz w:val="22"/>
          <w:szCs w:val="22"/>
          <w:lang w:eastAsia="es-MX"/>
        </w:rPr>
        <w:t xml:space="preserve"> </w:t>
      </w:r>
      <w:r w:rsidR="00547B39" w:rsidRPr="00231326">
        <w:rPr>
          <w:rFonts w:ascii="Arial" w:eastAsia="Times New Roman" w:hAnsi="Arial" w:cs="Arial"/>
          <w:color w:val="222222"/>
          <w:sz w:val="22"/>
          <w:szCs w:val="22"/>
          <w:lang w:eastAsia="es-MX"/>
        </w:rPr>
        <w:t>&amp;</w:t>
      </w:r>
      <w:r w:rsidR="001A7C85" w:rsidRPr="00231326">
        <w:rPr>
          <w:rFonts w:ascii="Arial" w:eastAsia="Times New Roman" w:hAnsi="Arial" w:cs="Arial"/>
          <w:color w:val="222222"/>
          <w:sz w:val="22"/>
          <w:szCs w:val="22"/>
          <w:lang w:eastAsia="es-MX"/>
        </w:rPr>
        <w:t xml:space="preserve"> </w:t>
      </w:r>
      <w:r w:rsidR="00547B39" w:rsidRPr="00231326">
        <w:rPr>
          <w:rFonts w:ascii="Arial" w:eastAsia="Times New Roman" w:hAnsi="Arial" w:cs="Arial"/>
          <w:color w:val="222222"/>
          <w:sz w:val="22"/>
          <w:szCs w:val="22"/>
          <w:lang w:eastAsia="es-MX"/>
        </w:rPr>
        <w:t>Herzegovina</w:t>
      </w:r>
      <w:r w:rsidRPr="00231326">
        <w:rPr>
          <w:rFonts w:ascii="Arial" w:eastAsia="Times New Roman" w:hAnsi="Arial" w:cs="Arial"/>
          <w:color w:val="222222"/>
          <w:sz w:val="22"/>
          <w:szCs w:val="22"/>
          <w:lang w:eastAsia="es-MX"/>
        </w:rPr>
        <w:t xml:space="preserve">, with NAP coming up this year; as well as </w:t>
      </w:r>
      <w:r w:rsidR="00DF0AD5" w:rsidRPr="00231326">
        <w:rPr>
          <w:rFonts w:ascii="Arial" w:eastAsia="Times New Roman" w:hAnsi="Arial" w:cs="Arial"/>
          <w:color w:val="222222"/>
          <w:sz w:val="22"/>
          <w:szCs w:val="22"/>
          <w:lang w:eastAsia="es-MX"/>
        </w:rPr>
        <w:t>Georgia, given the</w:t>
      </w:r>
      <w:r w:rsidRPr="00231326">
        <w:rPr>
          <w:rFonts w:ascii="Arial" w:eastAsia="Times New Roman" w:hAnsi="Arial" w:cs="Arial"/>
          <w:color w:val="222222"/>
          <w:sz w:val="22"/>
          <w:szCs w:val="22"/>
          <w:lang w:eastAsia="es-MX"/>
        </w:rPr>
        <w:t xml:space="preserve"> GIFT’s high interest </w:t>
      </w:r>
      <w:r w:rsidR="00DF0AD5" w:rsidRPr="00231326">
        <w:rPr>
          <w:rFonts w:ascii="Arial" w:eastAsia="Times New Roman" w:hAnsi="Arial" w:cs="Arial"/>
          <w:color w:val="222222"/>
          <w:sz w:val="22"/>
          <w:szCs w:val="22"/>
          <w:lang w:eastAsia="es-MX"/>
        </w:rPr>
        <w:t xml:space="preserve">in knowing and eventually documenting their public participation </w:t>
      </w:r>
      <w:r w:rsidR="005101F9" w:rsidRPr="00231326">
        <w:rPr>
          <w:rFonts w:ascii="Arial" w:eastAsia="Times New Roman" w:hAnsi="Arial" w:cs="Arial"/>
          <w:color w:val="222222"/>
          <w:sz w:val="22"/>
          <w:szCs w:val="22"/>
          <w:lang w:eastAsia="es-MX"/>
        </w:rPr>
        <w:t>in fiscal policies experience (15 international participants)</w:t>
      </w:r>
    </w:p>
    <w:p w14:paraId="52243270" w14:textId="77777777" w:rsidR="005101F9" w:rsidRPr="00231326" w:rsidRDefault="005101F9" w:rsidP="005101F9">
      <w:pPr>
        <w:shd w:val="clear" w:color="auto" w:fill="FFFFFF"/>
        <w:suppressAutoHyphens w:val="0"/>
        <w:rPr>
          <w:rFonts w:ascii="Arial" w:eastAsia="Times New Roman" w:hAnsi="Arial" w:cs="Arial"/>
          <w:color w:val="222222"/>
          <w:sz w:val="22"/>
          <w:szCs w:val="22"/>
          <w:lang w:eastAsia="es-MX"/>
        </w:rPr>
      </w:pPr>
    </w:p>
    <w:p w14:paraId="32C7C8D4" w14:textId="2FE50B06" w:rsidR="005101F9" w:rsidRPr="00231326" w:rsidRDefault="005101F9" w:rsidP="005101F9">
      <w:pPr>
        <w:shd w:val="clear" w:color="auto" w:fill="FFFFFF"/>
        <w:suppressAutoHyphens w:val="0"/>
        <w:rPr>
          <w:rFonts w:ascii="Arial" w:eastAsia="Times New Roman" w:hAnsi="Arial" w:cs="Arial"/>
          <w:color w:val="222222"/>
          <w:sz w:val="22"/>
          <w:szCs w:val="22"/>
          <w:lang w:eastAsia="es-MX"/>
        </w:rPr>
      </w:pPr>
      <w:r w:rsidRPr="00231326">
        <w:rPr>
          <w:rFonts w:ascii="Arial" w:eastAsia="Times New Roman" w:hAnsi="Arial" w:cs="Arial"/>
          <w:color w:val="222222"/>
          <w:sz w:val="22"/>
          <w:szCs w:val="22"/>
          <w:lang w:eastAsia="es-MX"/>
        </w:rPr>
        <w:t>Africa:</w:t>
      </w:r>
    </w:p>
    <w:p w14:paraId="35704A74" w14:textId="26F0EC6D" w:rsidR="005101F9" w:rsidRPr="00231326" w:rsidRDefault="005101F9" w:rsidP="005101F9">
      <w:pPr>
        <w:pStyle w:val="Prrafodelista"/>
        <w:numPr>
          <w:ilvl w:val="3"/>
          <w:numId w:val="1"/>
        </w:numPr>
        <w:shd w:val="clear" w:color="auto" w:fill="FFFFFF"/>
        <w:suppressAutoHyphens w:val="0"/>
        <w:ind w:left="450"/>
        <w:rPr>
          <w:rFonts w:ascii="Arial" w:eastAsia="Times New Roman" w:hAnsi="Arial" w:cs="Arial"/>
          <w:color w:val="222222"/>
          <w:sz w:val="22"/>
          <w:szCs w:val="22"/>
          <w:lang w:eastAsia="es-MX"/>
        </w:rPr>
      </w:pPr>
      <w:r w:rsidRPr="00231326">
        <w:rPr>
          <w:rFonts w:ascii="Arial" w:eastAsia="Times New Roman" w:hAnsi="Arial" w:cs="Arial"/>
          <w:color w:val="222222"/>
          <w:sz w:val="22"/>
          <w:szCs w:val="22"/>
          <w:lang w:eastAsia="es-MX"/>
        </w:rPr>
        <w:t xml:space="preserve">To be defined: a FOWG regional meeting, maybe focusing on Francophone countries, to support the efforts of Senegal, Cote d’Ivoire, Burkina Faso, Tunisia, Morocco and other countries (Benin, Cameroon, Madagascar, Mali, </w:t>
      </w:r>
      <w:proofErr w:type="spellStart"/>
      <w:r w:rsidRPr="00231326">
        <w:rPr>
          <w:rFonts w:ascii="Arial" w:eastAsia="Times New Roman" w:hAnsi="Arial" w:cs="Arial"/>
          <w:color w:val="222222"/>
          <w:sz w:val="22"/>
          <w:szCs w:val="22"/>
          <w:lang w:eastAsia="es-MX"/>
        </w:rPr>
        <w:t>etc</w:t>
      </w:r>
      <w:proofErr w:type="spellEnd"/>
      <w:r w:rsidRPr="00231326">
        <w:rPr>
          <w:rFonts w:ascii="Arial" w:eastAsia="Times New Roman" w:hAnsi="Arial" w:cs="Arial"/>
          <w:color w:val="222222"/>
          <w:sz w:val="22"/>
          <w:szCs w:val="22"/>
          <w:lang w:eastAsia="es-MX"/>
        </w:rPr>
        <w:t>) in fulfilling the eligibility criteria in the budget transparency conditions. (15 international participants)</w:t>
      </w:r>
    </w:p>
    <w:p w14:paraId="10554451" w14:textId="77777777" w:rsidR="00547B39" w:rsidRPr="00231326" w:rsidRDefault="00547B39" w:rsidP="00DF0AD5">
      <w:pPr>
        <w:shd w:val="clear" w:color="auto" w:fill="FFFFFF"/>
        <w:suppressAutoHyphens w:val="0"/>
        <w:rPr>
          <w:rFonts w:ascii="Arial" w:eastAsia="Times New Roman" w:hAnsi="Arial" w:cs="Arial"/>
          <w:color w:val="222222"/>
          <w:sz w:val="22"/>
          <w:szCs w:val="22"/>
          <w:lang w:eastAsia="es-MX"/>
        </w:rPr>
      </w:pPr>
    </w:p>
    <w:p w14:paraId="6E2C70AC" w14:textId="5A157E34" w:rsidR="00DF0AD5" w:rsidRPr="00231326" w:rsidRDefault="00ED3764" w:rsidP="00ED3764">
      <w:pPr>
        <w:shd w:val="clear" w:color="auto" w:fill="FFFFFF"/>
        <w:suppressAutoHyphens w:val="0"/>
        <w:rPr>
          <w:rFonts w:ascii="Arial" w:eastAsia="Times New Roman" w:hAnsi="Arial" w:cs="Arial"/>
          <w:color w:val="222222"/>
          <w:sz w:val="22"/>
          <w:szCs w:val="22"/>
          <w:lang w:eastAsia="es-MX"/>
        </w:rPr>
      </w:pPr>
      <w:r w:rsidRPr="00231326">
        <w:rPr>
          <w:rFonts w:ascii="Arial" w:eastAsia="Times New Roman" w:hAnsi="Arial" w:cs="Arial"/>
          <w:color w:val="222222"/>
          <w:sz w:val="22"/>
          <w:szCs w:val="22"/>
          <w:lang w:eastAsia="es-MX"/>
        </w:rPr>
        <w:t>Activities for the second semester will be planned in the following months.</w:t>
      </w:r>
      <w:r w:rsidR="005101F9" w:rsidRPr="00231326">
        <w:rPr>
          <w:rFonts w:ascii="Arial" w:eastAsia="Times New Roman" w:hAnsi="Arial" w:cs="Arial"/>
          <w:color w:val="222222"/>
          <w:sz w:val="22"/>
          <w:szCs w:val="22"/>
          <w:lang w:eastAsia="es-MX"/>
        </w:rPr>
        <w:t xml:space="preserve"> They may include additional meetings in Guatemala, Paraguay, Croatia and Ghana.</w:t>
      </w:r>
    </w:p>
    <w:p w14:paraId="79C75650" w14:textId="77777777" w:rsidR="001A7C85" w:rsidRPr="00231326" w:rsidRDefault="001A7C85" w:rsidP="001A7C85">
      <w:pPr>
        <w:pStyle w:val="Prrafodelista"/>
        <w:shd w:val="clear" w:color="auto" w:fill="FFFFFF"/>
        <w:suppressAutoHyphens w:val="0"/>
        <w:ind w:left="2880"/>
        <w:rPr>
          <w:rFonts w:ascii="Arial" w:eastAsia="Times New Roman" w:hAnsi="Arial" w:cs="Arial"/>
          <w:color w:val="222222"/>
          <w:sz w:val="22"/>
          <w:szCs w:val="22"/>
          <w:lang w:eastAsia="es-MX"/>
        </w:rPr>
      </w:pPr>
    </w:p>
    <w:p w14:paraId="62BFA403" w14:textId="77777777" w:rsidR="00B437AA" w:rsidRPr="00231326" w:rsidRDefault="00B437AA">
      <w:pPr>
        <w:pStyle w:val="Sinespaciado"/>
        <w:rPr>
          <w:rFonts w:ascii="Arial" w:hAnsi="Arial" w:cs="Arial"/>
          <w:sz w:val="22"/>
          <w:szCs w:val="22"/>
        </w:rPr>
      </w:pPr>
    </w:p>
    <w:p w14:paraId="6D03EFD6" w14:textId="15C9F73B" w:rsidR="00B437AA" w:rsidRPr="00C36D35" w:rsidRDefault="00B437AA">
      <w:pPr>
        <w:pStyle w:val="Sinespaciado"/>
        <w:rPr>
          <w:rFonts w:ascii="Arial" w:hAnsi="Arial" w:cs="Arial"/>
          <w:color w:val="FF3300"/>
          <w:sz w:val="22"/>
          <w:szCs w:val="22"/>
          <w:u w:val="single"/>
        </w:rPr>
      </w:pPr>
      <w:r w:rsidRPr="00C36D35">
        <w:rPr>
          <w:rFonts w:ascii="Arial" w:hAnsi="Arial" w:cs="Arial"/>
          <w:color w:val="FF3300"/>
          <w:sz w:val="22"/>
          <w:szCs w:val="22"/>
          <w:u w:val="single"/>
        </w:rPr>
        <w:t>Working with other OGP working groups</w:t>
      </w:r>
    </w:p>
    <w:p w14:paraId="001E4F94" w14:textId="77777777" w:rsidR="00B437AA" w:rsidRPr="00231326" w:rsidRDefault="00B437AA">
      <w:pPr>
        <w:pStyle w:val="Sinespaciado"/>
        <w:rPr>
          <w:rFonts w:ascii="Arial" w:hAnsi="Arial" w:cs="Arial"/>
          <w:sz w:val="22"/>
          <w:szCs w:val="22"/>
          <w:u w:val="single"/>
        </w:rPr>
      </w:pPr>
    </w:p>
    <w:p w14:paraId="0C3E3B9E" w14:textId="7287043D" w:rsidR="005C330C" w:rsidRPr="00231326" w:rsidRDefault="00B437AA">
      <w:pPr>
        <w:pStyle w:val="Sinespaciado"/>
        <w:rPr>
          <w:rFonts w:ascii="Arial" w:hAnsi="Arial" w:cs="Arial"/>
          <w:sz w:val="22"/>
          <w:szCs w:val="22"/>
        </w:rPr>
      </w:pPr>
      <w:r w:rsidRPr="00231326">
        <w:rPr>
          <w:rFonts w:ascii="Arial" w:hAnsi="Arial" w:cs="Arial"/>
          <w:sz w:val="22"/>
          <w:szCs w:val="22"/>
        </w:rPr>
        <w:t>The FOWG will continue to look for opportunities to join efforts with other OGP Working Groups, in order to collaborate on projects where the groups can logically overlap and increase impact on issues, research, and workshops.</w:t>
      </w:r>
      <w:r w:rsidR="001A7C85" w:rsidRPr="00231326">
        <w:rPr>
          <w:rFonts w:ascii="Arial" w:hAnsi="Arial" w:cs="Arial"/>
          <w:sz w:val="22"/>
          <w:szCs w:val="22"/>
        </w:rPr>
        <w:t xml:space="preserve"> An example of this is </w:t>
      </w:r>
      <w:r w:rsidRPr="00231326">
        <w:rPr>
          <w:rFonts w:ascii="Arial" w:hAnsi="Arial" w:cs="Arial"/>
          <w:sz w:val="22"/>
          <w:szCs w:val="22"/>
        </w:rPr>
        <w:t>GIFT</w:t>
      </w:r>
      <w:r w:rsidR="001A7C85" w:rsidRPr="00231326">
        <w:rPr>
          <w:rFonts w:ascii="Arial" w:hAnsi="Arial" w:cs="Arial"/>
          <w:sz w:val="22"/>
          <w:szCs w:val="22"/>
        </w:rPr>
        <w:t xml:space="preserve">’s </w:t>
      </w:r>
      <w:r w:rsidRPr="00231326">
        <w:rPr>
          <w:rFonts w:ascii="Arial" w:hAnsi="Arial" w:cs="Arial"/>
          <w:sz w:val="22"/>
          <w:szCs w:val="22"/>
        </w:rPr>
        <w:t xml:space="preserve">engaging with the Legislative </w:t>
      </w:r>
      <w:r w:rsidR="001A7C85" w:rsidRPr="00231326">
        <w:rPr>
          <w:rFonts w:ascii="Arial" w:hAnsi="Arial" w:cs="Arial"/>
          <w:sz w:val="22"/>
          <w:szCs w:val="22"/>
        </w:rPr>
        <w:t xml:space="preserve">Openness </w:t>
      </w:r>
      <w:r w:rsidRPr="00231326">
        <w:rPr>
          <w:rFonts w:ascii="Arial" w:hAnsi="Arial" w:cs="Arial"/>
          <w:sz w:val="22"/>
          <w:szCs w:val="22"/>
        </w:rPr>
        <w:t xml:space="preserve">Working Group </w:t>
      </w:r>
      <w:r w:rsidR="001A7C85" w:rsidRPr="00231326">
        <w:rPr>
          <w:rFonts w:ascii="Arial" w:hAnsi="Arial" w:cs="Arial"/>
          <w:sz w:val="22"/>
          <w:szCs w:val="22"/>
        </w:rPr>
        <w:t>in the regional event in Colombia described above,</w:t>
      </w:r>
      <w:r w:rsidR="00ED3764" w:rsidRPr="00231326">
        <w:rPr>
          <w:rFonts w:ascii="Arial" w:hAnsi="Arial" w:cs="Arial"/>
          <w:sz w:val="22"/>
          <w:szCs w:val="22"/>
        </w:rPr>
        <w:t xml:space="preserve"> aiming to promote the adoption of public participation mechanisms in the legislative. </w:t>
      </w:r>
    </w:p>
    <w:p w14:paraId="41620180" w14:textId="77777777" w:rsidR="00C36D35" w:rsidRDefault="00C36D35" w:rsidP="00C36D35">
      <w:pPr>
        <w:pStyle w:val="Ttulo2"/>
        <w:rPr>
          <w:rFonts w:ascii="Arial" w:hAnsi="Arial" w:cs="Arial"/>
          <w:b w:val="0"/>
          <w:color w:val="FF3300"/>
          <w:sz w:val="22"/>
          <w:szCs w:val="22"/>
          <w:u w:val="single"/>
        </w:rPr>
      </w:pPr>
    </w:p>
    <w:p w14:paraId="4A81DB56" w14:textId="417F07FB" w:rsidR="005C330C" w:rsidRPr="00C36D35" w:rsidRDefault="00A43851" w:rsidP="00C36D35">
      <w:pPr>
        <w:pStyle w:val="Ttulo2"/>
        <w:rPr>
          <w:rFonts w:ascii="Arial" w:hAnsi="Arial" w:cs="Arial"/>
          <w:b w:val="0"/>
          <w:color w:val="FF3300"/>
          <w:sz w:val="22"/>
          <w:szCs w:val="22"/>
          <w:u w:val="single"/>
        </w:rPr>
      </w:pPr>
      <w:r w:rsidRPr="00C36D35">
        <w:rPr>
          <w:rFonts w:ascii="Arial" w:hAnsi="Arial" w:cs="Arial"/>
          <w:b w:val="0"/>
          <w:color w:val="FF3300"/>
          <w:sz w:val="22"/>
          <w:szCs w:val="22"/>
          <w:u w:val="single"/>
        </w:rPr>
        <w:t>Proposal for Funding</w:t>
      </w:r>
    </w:p>
    <w:p w14:paraId="72C86242" w14:textId="77777777" w:rsidR="005C330C" w:rsidRPr="00231326" w:rsidRDefault="005C330C">
      <w:pPr>
        <w:pStyle w:val="Sinespaciado"/>
        <w:rPr>
          <w:rFonts w:ascii="Arial" w:hAnsi="Arial" w:cs="Arial"/>
          <w:sz w:val="22"/>
          <w:szCs w:val="22"/>
          <w:u w:val="single"/>
        </w:rPr>
      </w:pPr>
    </w:p>
    <w:p w14:paraId="0C6E6D06" w14:textId="32D5070B" w:rsidR="005C330C" w:rsidRPr="00231326" w:rsidRDefault="005101F9">
      <w:pPr>
        <w:pStyle w:val="Sinespaciado"/>
        <w:rPr>
          <w:rFonts w:ascii="Arial" w:hAnsi="Arial" w:cs="Arial"/>
          <w:sz w:val="22"/>
          <w:szCs w:val="22"/>
        </w:rPr>
      </w:pPr>
      <w:r w:rsidRPr="00231326">
        <w:rPr>
          <w:rFonts w:ascii="Arial" w:hAnsi="Arial" w:cs="Arial"/>
          <w:sz w:val="22"/>
          <w:szCs w:val="22"/>
        </w:rPr>
        <w:t>The six workshops and meetings planned for 2017 at the moment include the participation</w:t>
      </w:r>
      <w:r w:rsidR="00E7308A" w:rsidRPr="00231326">
        <w:rPr>
          <w:rFonts w:ascii="Arial" w:hAnsi="Arial" w:cs="Arial"/>
          <w:sz w:val="22"/>
          <w:szCs w:val="22"/>
        </w:rPr>
        <w:t xml:space="preserve"> of over 60 international participants. </w:t>
      </w:r>
      <w:r w:rsidR="00A43851" w:rsidRPr="00231326">
        <w:rPr>
          <w:rFonts w:ascii="Arial" w:hAnsi="Arial" w:cs="Arial"/>
          <w:sz w:val="22"/>
          <w:szCs w:val="22"/>
        </w:rPr>
        <w:t>This is a proposal to the Open Government Partnership from the Fiscal Opennes</w:t>
      </w:r>
      <w:r w:rsidR="002277A0" w:rsidRPr="00231326">
        <w:rPr>
          <w:rFonts w:ascii="Arial" w:hAnsi="Arial" w:cs="Arial"/>
          <w:sz w:val="22"/>
          <w:szCs w:val="22"/>
        </w:rPr>
        <w:t>s Working Group requesting $38,250</w:t>
      </w:r>
      <w:r w:rsidR="007B79AC" w:rsidRPr="00231326">
        <w:rPr>
          <w:rFonts w:ascii="Arial" w:hAnsi="Arial" w:cs="Arial"/>
          <w:sz w:val="22"/>
          <w:szCs w:val="22"/>
        </w:rPr>
        <w:t xml:space="preserve"> to help fund</w:t>
      </w:r>
      <w:r w:rsidR="00A43851" w:rsidRPr="00231326">
        <w:rPr>
          <w:rFonts w:ascii="Arial" w:hAnsi="Arial" w:cs="Arial"/>
          <w:sz w:val="22"/>
          <w:szCs w:val="22"/>
        </w:rPr>
        <w:t xml:space="preserve"> </w:t>
      </w:r>
      <w:r w:rsidR="00E7308A" w:rsidRPr="00231326">
        <w:rPr>
          <w:rFonts w:ascii="Arial" w:hAnsi="Arial" w:cs="Arial"/>
          <w:sz w:val="22"/>
          <w:szCs w:val="22"/>
        </w:rPr>
        <w:t xml:space="preserve">travel and accommodation costs for 30 participants at </w:t>
      </w:r>
      <w:r w:rsidR="003A6649" w:rsidRPr="00231326">
        <w:rPr>
          <w:rFonts w:ascii="Arial" w:hAnsi="Arial" w:cs="Arial"/>
          <w:sz w:val="22"/>
          <w:szCs w:val="22"/>
        </w:rPr>
        <w:t xml:space="preserve">the various </w:t>
      </w:r>
      <w:r w:rsidR="00A43851" w:rsidRPr="00231326">
        <w:rPr>
          <w:rFonts w:ascii="Arial" w:hAnsi="Arial" w:cs="Arial"/>
          <w:sz w:val="22"/>
          <w:szCs w:val="22"/>
        </w:rPr>
        <w:t>regional workshop</w:t>
      </w:r>
      <w:r w:rsidR="003A6649" w:rsidRPr="00231326">
        <w:rPr>
          <w:rFonts w:ascii="Arial" w:hAnsi="Arial" w:cs="Arial"/>
          <w:sz w:val="22"/>
          <w:szCs w:val="22"/>
        </w:rPr>
        <w:t>s</w:t>
      </w:r>
      <w:r w:rsidR="00A43851" w:rsidRPr="00231326">
        <w:rPr>
          <w:rFonts w:ascii="Arial" w:hAnsi="Arial" w:cs="Arial"/>
          <w:sz w:val="22"/>
          <w:szCs w:val="22"/>
        </w:rPr>
        <w:t xml:space="preserve"> on fiscal openness in OGP countries and the implementation of Open Government Partnership commitments, to be held </w:t>
      </w:r>
      <w:r w:rsidR="00044562" w:rsidRPr="00231326">
        <w:rPr>
          <w:rFonts w:ascii="Arial" w:hAnsi="Arial" w:cs="Arial"/>
          <w:sz w:val="22"/>
          <w:szCs w:val="22"/>
        </w:rPr>
        <w:t>d</w:t>
      </w:r>
      <w:r w:rsidR="00ED3764" w:rsidRPr="00231326">
        <w:rPr>
          <w:rFonts w:ascii="Arial" w:hAnsi="Arial" w:cs="Arial"/>
          <w:sz w:val="22"/>
          <w:szCs w:val="22"/>
        </w:rPr>
        <w:t>uring the first semester of 2017</w:t>
      </w:r>
      <w:r w:rsidR="00A43851" w:rsidRPr="00231326">
        <w:rPr>
          <w:rFonts w:ascii="Arial" w:hAnsi="Arial" w:cs="Arial"/>
          <w:sz w:val="22"/>
          <w:szCs w:val="22"/>
        </w:rPr>
        <w:t xml:space="preserve">. </w:t>
      </w:r>
    </w:p>
    <w:p w14:paraId="03593A27" w14:textId="77777777" w:rsidR="005C330C" w:rsidRPr="00231326" w:rsidRDefault="005C330C">
      <w:pPr>
        <w:pStyle w:val="Sinespaciado"/>
        <w:rPr>
          <w:rFonts w:ascii="Arial" w:hAnsi="Arial" w:cs="Arial"/>
          <w:sz w:val="22"/>
          <w:szCs w:val="22"/>
        </w:rPr>
      </w:pPr>
    </w:p>
    <w:p w14:paraId="285980AA" w14:textId="77777777" w:rsidR="005C330C" w:rsidRPr="00231326" w:rsidRDefault="005C330C">
      <w:pPr>
        <w:pStyle w:val="Sinespaciado"/>
        <w:rPr>
          <w:rFonts w:ascii="Arial" w:hAnsi="Arial"/>
          <w:sz w:val="22"/>
          <w:szCs w:val="22"/>
        </w:rPr>
      </w:pPr>
    </w:p>
    <w:tbl>
      <w:tblPr>
        <w:tblW w:w="9404"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3134"/>
        <w:gridCol w:w="3135"/>
        <w:gridCol w:w="3135"/>
      </w:tblGrid>
      <w:tr w:rsidR="00F672F8" w:rsidRPr="00231326" w14:paraId="66D48C88" w14:textId="77777777" w:rsidTr="00F672F8">
        <w:trPr>
          <w:tblHeader/>
        </w:trPr>
        <w:tc>
          <w:tcPr>
            <w:tcW w:w="9404"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CA9BD6C" w14:textId="6C040E59" w:rsidR="00F672F8" w:rsidRPr="00231326" w:rsidRDefault="00E7308A" w:rsidP="00844EA4">
            <w:pPr>
              <w:pStyle w:val="TableHeading"/>
              <w:jc w:val="center"/>
              <w:rPr>
                <w:rFonts w:ascii="Arial" w:hAnsi="Arial"/>
                <w:b/>
                <w:bCs/>
                <w:sz w:val="22"/>
                <w:szCs w:val="22"/>
              </w:rPr>
            </w:pPr>
            <w:r w:rsidRPr="00231326">
              <w:rPr>
                <w:rFonts w:ascii="Arial" w:hAnsi="Arial"/>
                <w:b/>
                <w:sz w:val="22"/>
                <w:szCs w:val="22"/>
              </w:rPr>
              <w:lastRenderedPageBreak/>
              <w:t xml:space="preserve">Costs for </w:t>
            </w:r>
            <w:r w:rsidR="00C72975" w:rsidRPr="00231326">
              <w:rPr>
                <w:rFonts w:ascii="Arial" w:hAnsi="Arial"/>
                <w:b/>
                <w:sz w:val="22"/>
                <w:szCs w:val="22"/>
              </w:rPr>
              <w:t>2</w:t>
            </w:r>
            <w:r w:rsidR="00F672F8" w:rsidRPr="00231326">
              <w:rPr>
                <w:rFonts w:ascii="Arial" w:hAnsi="Arial"/>
                <w:b/>
                <w:sz w:val="22"/>
                <w:szCs w:val="22"/>
              </w:rPr>
              <w:t>0 Regional Participants</w:t>
            </w:r>
          </w:p>
        </w:tc>
      </w:tr>
      <w:tr w:rsidR="005C330C" w:rsidRPr="00231326" w14:paraId="42B9F056" w14:textId="77777777">
        <w:trPr>
          <w:tblHeader/>
        </w:trPr>
        <w:tc>
          <w:tcPr>
            <w:tcW w:w="3134" w:type="dxa"/>
            <w:tcBorders>
              <w:top w:val="single" w:sz="2" w:space="0" w:color="000000"/>
              <w:left w:val="single" w:sz="2" w:space="0" w:color="000000"/>
              <w:bottom w:val="single" w:sz="2" w:space="0" w:color="000000"/>
              <w:right w:val="nil"/>
            </w:tcBorders>
            <w:shd w:val="clear" w:color="auto" w:fill="auto"/>
            <w:tcMar>
              <w:left w:w="54" w:type="dxa"/>
            </w:tcMar>
          </w:tcPr>
          <w:p w14:paraId="0320355F" w14:textId="77777777" w:rsidR="005C330C" w:rsidRPr="00231326" w:rsidRDefault="00A43851">
            <w:pPr>
              <w:pStyle w:val="TableHeading"/>
              <w:rPr>
                <w:rFonts w:ascii="Arial" w:hAnsi="Arial"/>
                <w:b/>
                <w:bCs/>
                <w:sz w:val="22"/>
                <w:szCs w:val="22"/>
              </w:rPr>
            </w:pPr>
            <w:r w:rsidRPr="00231326">
              <w:rPr>
                <w:rFonts w:ascii="Arial" w:hAnsi="Arial"/>
                <w:b/>
                <w:bCs/>
                <w:sz w:val="22"/>
                <w:szCs w:val="22"/>
              </w:rPr>
              <w:t>Item</w:t>
            </w:r>
          </w:p>
        </w:tc>
        <w:tc>
          <w:tcPr>
            <w:tcW w:w="3135" w:type="dxa"/>
            <w:tcBorders>
              <w:top w:val="single" w:sz="2" w:space="0" w:color="000000"/>
              <w:left w:val="single" w:sz="2" w:space="0" w:color="000000"/>
              <w:bottom w:val="single" w:sz="2" w:space="0" w:color="000000"/>
              <w:right w:val="nil"/>
            </w:tcBorders>
            <w:shd w:val="clear" w:color="auto" w:fill="auto"/>
            <w:tcMar>
              <w:left w:w="54" w:type="dxa"/>
            </w:tcMar>
          </w:tcPr>
          <w:p w14:paraId="05AC2993" w14:textId="77777777" w:rsidR="005C330C" w:rsidRPr="00231326" w:rsidRDefault="00A43851">
            <w:pPr>
              <w:pStyle w:val="TableHeading"/>
              <w:rPr>
                <w:rFonts w:ascii="Arial" w:hAnsi="Arial"/>
                <w:b/>
                <w:bCs/>
                <w:sz w:val="22"/>
                <w:szCs w:val="22"/>
              </w:rPr>
            </w:pPr>
            <w:r w:rsidRPr="00231326">
              <w:rPr>
                <w:rFonts w:ascii="Arial" w:hAnsi="Arial"/>
                <w:b/>
                <w:bCs/>
                <w:sz w:val="22"/>
                <w:szCs w:val="22"/>
              </w:rPr>
              <w:t>Description</w:t>
            </w:r>
          </w:p>
        </w:tc>
        <w:tc>
          <w:tcPr>
            <w:tcW w:w="313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8C39863" w14:textId="51923D84" w:rsidR="005C330C" w:rsidRPr="00231326" w:rsidRDefault="00A71EFA" w:rsidP="00A71EFA">
            <w:pPr>
              <w:pStyle w:val="TableHeading"/>
              <w:rPr>
                <w:rFonts w:ascii="Arial" w:hAnsi="Arial"/>
                <w:b/>
                <w:bCs/>
                <w:sz w:val="22"/>
                <w:szCs w:val="22"/>
              </w:rPr>
            </w:pPr>
            <w:r w:rsidRPr="00231326">
              <w:rPr>
                <w:rFonts w:ascii="Arial" w:hAnsi="Arial"/>
                <w:b/>
                <w:bCs/>
                <w:sz w:val="22"/>
                <w:szCs w:val="22"/>
              </w:rPr>
              <w:t xml:space="preserve">Estimated </w:t>
            </w:r>
            <w:r w:rsidR="00A43851" w:rsidRPr="00231326">
              <w:rPr>
                <w:rFonts w:ascii="Arial" w:hAnsi="Arial"/>
                <w:b/>
                <w:bCs/>
                <w:sz w:val="22"/>
                <w:szCs w:val="22"/>
              </w:rPr>
              <w:t xml:space="preserve">Cost </w:t>
            </w:r>
            <w:r w:rsidR="00F672F8" w:rsidRPr="00231326">
              <w:rPr>
                <w:rFonts w:ascii="Arial" w:hAnsi="Arial"/>
                <w:b/>
                <w:bCs/>
                <w:sz w:val="22"/>
                <w:szCs w:val="22"/>
              </w:rPr>
              <w:t>per person</w:t>
            </w:r>
          </w:p>
        </w:tc>
      </w:tr>
      <w:tr w:rsidR="005C330C" w:rsidRPr="00231326" w14:paraId="38B07ED2" w14:textId="77777777">
        <w:tc>
          <w:tcPr>
            <w:tcW w:w="3134" w:type="dxa"/>
            <w:tcBorders>
              <w:top w:val="nil"/>
              <w:left w:val="single" w:sz="2" w:space="0" w:color="000000"/>
              <w:bottom w:val="single" w:sz="2" w:space="0" w:color="000000"/>
              <w:right w:val="nil"/>
            </w:tcBorders>
            <w:shd w:val="clear" w:color="auto" w:fill="auto"/>
            <w:tcMar>
              <w:left w:w="54" w:type="dxa"/>
            </w:tcMar>
          </w:tcPr>
          <w:p w14:paraId="7245F0C0" w14:textId="77777777" w:rsidR="005C330C" w:rsidRPr="00231326" w:rsidRDefault="00A43851">
            <w:pPr>
              <w:pStyle w:val="TableContents"/>
              <w:rPr>
                <w:rFonts w:ascii="Arial" w:hAnsi="Arial"/>
                <w:sz w:val="22"/>
                <w:szCs w:val="22"/>
              </w:rPr>
            </w:pPr>
            <w:r w:rsidRPr="00231326">
              <w:rPr>
                <w:rFonts w:ascii="Arial" w:hAnsi="Arial"/>
                <w:sz w:val="22"/>
                <w:szCs w:val="22"/>
              </w:rPr>
              <w:t>Travel</w:t>
            </w:r>
          </w:p>
        </w:tc>
        <w:tc>
          <w:tcPr>
            <w:tcW w:w="3135" w:type="dxa"/>
            <w:tcBorders>
              <w:top w:val="nil"/>
              <w:left w:val="single" w:sz="2" w:space="0" w:color="000000"/>
              <w:bottom w:val="single" w:sz="2" w:space="0" w:color="000000"/>
              <w:right w:val="nil"/>
            </w:tcBorders>
            <w:shd w:val="clear" w:color="auto" w:fill="auto"/>
            <w:tcMar>
              <w:left w:w="54" w:type="dxa"/>
            </w:tcMar>
          </w:tcPr>
          <w:p w14:paraId="0031E9F8" w14:textId="77777777" w:rsidR="005C330C" w:rsidRPr="00231326" w:rsidRDefault="00A43851">
            <w:pPr>
              <w:pStyle w:val="TableContents"/>
              <w:rPr>
                <w:rFonts w:ascii="Arial" w:hAnsi="Arial"/>
                <w:sz w:val="22"/>
                <w:szCs w:val="22"/>
              </w:rPr>
            </w:pPr>
            <w:r w:rsidRPr="00231326">
              <w:rPr>
                <w:rFonts w:ascii="Arial" w:hAnsi="Arial"/>
                <w:sz w:val="22"/>
                <w:szCs w:val="22"/>
              </w:rPr>
              <w:t>Air or ground costs from home location to workshop</w:t>
            </w:r>
          </w:p>
        </w:tc>
        <w:tc>
          <w:tcPr>
            <w:tcW w:w="3135" w:type="dxa"/>
            <w:tcBorders>
              <w:top w:val="nil"/>
              <w:left w:val="single" w:sz="2" w:space="0" w:color="000000"/>
              <w:bottom w:val="single" w:sz="2" w:space="0" w:color="000000"/>
              <w:right w:val="single" w:sz="2" w:space="0" w:color="000000"/>
            </w:tcBorders>
            <w:shd w:val="clear" w:color="auto" w:fill="auto"/>
            <w:tcMar>
              <w:left w:w="54" w:type="dxa"/>
            </w:tcMar>
          </w:tcPr>
          <w:p w14:paraId="15E97815" w14:textId="77777777" w:rsidR="005C330C" w:rsidRPr="00231326" w:rsidRDefault="00A43851">
            <w:pPr>
              <w:pStyle w:val="TableContents"/>
              <w:rPr>
                <w:rFonts w:ascii="Arial" w:hAnsi="Arial"/>
                <w:sz w:val="22"/>
                <w:szCs w:val="22"/>
              </w:rPr>
            </w:pPr>
            <w:r w:rsidRPr="00231326">
              <w:rPr>
                <w:rFonts w:ascii="Arial" w:hAnsi="Arial"/>
                <w:sz w:val="22"/>
                <w:szCs w:val="22"/>
              </w:rPr>
              <w:t>$700</w:t>
            </w:r>
          </w:p>
        </w:tc>
      </w:tr>
      <w:tr w:rsidR="005C330C" w:rsidRPr="00231326" w14:paraId="4FB7249F" w14:textId="77777777">
        <w:tc>
          <w:tcPr>
            <w:tcW w:w="3134" w:type="dxa"/>
            <w:tcBorders>
              <w:top w:val="nil"/>
              <w:left w:val="single" w:sz="2" w:space="0" w:color="000000"/>
              <w:bottom w:val="single" w:sz="2" w:space="0" w:color="000000"/>
              <w:right w:val="nil"/>
            </w:tcBorders>
            <w:shd w:val="clear" w:color="auto" w:fill="auto"/>
            <w:tcMar>
              <w:left w:w="54" w:type="dxa"/>
            </w:tcMar>
          </w:tcPr>
          <w:p w14:paraId="65FE012E" w14:textId="77777777" w:rsidR="005C330C" w:rsidRPr="00231326" w:rsidRDefault="00A43851">
            <w:pPr>
              <w:pStyle w:val="TableContents"/>
              <w:rPr>
                <w:rFonts w:ascii="Arial" w:hAnsi="Arial"/>
                <w:sz w:val="22"/>
                <w:szCs w:val="22"/>
              </w:rPr>
            </w:pPr>
            <w:r w:rsidRPr="00231326">
              <w:rPr>
                <w:rFonts w:ascii="Arial" w:hAnsi="Arial"/>
                <w:sz w:val="22"/>
                <w:szCs w:val="22"/>
              </w:rPr>
              <w:t>Lodging</w:t>
            </w:r>
          </w:p>
        </w:tc>
        <w:tc>
          <w:tcPr>
            <w:tcW w:w="3135" w:type="dxa"/>
            <w:tcBorders>
              <w:top w:val="nil"/>
              <w:left w:val="single" w:sz="2" w:space="0" w:color="000000"/>
              <w:bottom w:val="single" w:sz="2" w:space="0" w:color="000000"/>
              <w:right w:val="nil"/>
            </w:tcBorders>
            <w:shd w:val="clear" w:color="auto" w:fill="auto"/>
            <w:tcMar>
              <w:left w:w="54" w:type="dxa"/>
            </w:tcMar>
          </w:tcPr>
          <w:p w14:paraId="5C802B49" w14:textId="77777777" w:rsidR="005C330C" w:rsidRPr="00231326" w:rsidRDefault="00A43851">
            <w:pPr>
              <w:pStyle w:val="TableContents"/>
              <w:rPr>
                <w:rFonts w:ascii="Arial" w:hAnsi="Arial"/>
                <w:sz w:val="22"/>
                <w:szCs w:val="22"/>
              </w:rPr>
            </w:pPr>
            <w:r w:rsidRPr="00231326">
              <w:rPr>
                <w:rFonts w:ascii="Arial" w:hAnsi="Arial"/>
                <w:sz w:val="22"/>
                <w:szCs w:val="22"/>
              </w:rPr>
              <w:t>Overnight accommodations</w:t>
            </w:r>
          </w:p>
        </w:tc>
        <w:tc>
          <w:tcPr>
            <w:tcW w:w="3135" w:type="dxa"/>
            <w:tcBorders>
              <w:top w:val="nil"/>
              <w:left w:val="single" w:sz="2" w:space="0" w:color="000000"/>
              <w:bottom w:val="single" w:sz="2" w:space="0" w:color="000000"/>
              <w:right w:val="single" w:sz="2" w:space="0" w:color="000000"/>
            </w:tcBorders>
            <w:shd w:val="clear" w:color="auto" w:fill="auto"/>
            <w:tcMar>
              <w:left w:w="54" w:type="dxa"/>
            </w:tcMar>
          </w:tcPr>
          <w:p w14:paraId="3C0966BD" w14:textId="77777777" w:rsidR="005C330C" w:rsidRPr="00231326" w:rsidRDefault="00A43851">
            <w:pPr>
              <w:pStyle w:val="TableContents"/>
              <w:rPr>
                <w:rFonts w:ascii="Arial" w:hAnsi="Arial"/>
                <w:sz w:val="22"/>
                <w:szCs w:val="22"/>
              </w:rPr>
            </w:pPr>
            <w:r w:rsidRPr="00231326">
              <w:rPr>
                <w:rFonts w:ascii="Arial" w:hAnsi="Arial"/>
                <w:sz w:val="22"/>
                <w:szCs w:val="22"/>
              </w:rPr>
              <w:t>$</w:t>
            </w:r>
            <w:r w:rsidR="00F672F8" w:rsidRPr="00231326">
              <w:rPr>
                <w:rFonts w:ascii="Arial" w:hAnsi="Arial"/>
                <w:sz w:val="22"/>
                <w:szCs w:val="22"/>
              </w:rPr>
              <w:t>40</w:t>
            </w:r>
            <w:r w:rsidRPr="00231326">
              <w:rPr>
                <w:rFonts w:ascii="Arial" w:hAnsi="Arial"/>
                <w:sz w:val="22"/>
                <w:szCs w:val="22"/>
              </w:rPr>
              <w:t>0</w:t>
            </w:r>
          </w:p>
        </w:tc>
      </w:tr>
      <w:tr w:rsidR="005C330C" w:rsidRPr="00231326" w14:paraId="6DFEE973" w14:textId="77777777">
        <w:tc>
          <w:tcPr>
            <w:tcW w:w="3134" w:type="dxa"/>
            <w:tcBorders>
              <w:top w:val="nil"/>
              <w:left w:val="single" w:sz="2" w:space="0" w:color="000000"/>
              <w:bottom w:val="single" w:sz="2" w:space="0" w:color="000000"/>
              <w:right w:val="nil"/>
            </w:tcBorders>
            <w:shd w:val="clear" w:color="auto" w:fill="auto"/>
            <w:tcMar>
              <w:left w:w="54" w:type="dxa"/>
            </w:tcMar>
          </w:tcPr>
          <w:p w14:paraId="4004B7EF" w14:textId="77777777" w:rsidR="005C330C" w:rsidRPr="00231326" w:rsidRDefault="00A43851">
            <w:pPr>
              <w:pStyle w:val="TableContents"/>
              <w:rPr>
                <w:rFonts w:ascii="Arial" w:hAnsi="Arial"/>
                <w:sz w:val="22"/>
                <w:szCs w:val="22"/>
              </w:rPr>
            </w:pPr>
            <w:r w:rsidRPr="00231326">
              <w:rPr>
                <w:rFonts w:ascii="Arial" w:hAnsi="Arial"/>
                <w:sz w:val="22"/>
                <w:szCs w:val="22"/>
              </w:rPr>
              <w:t>Local ground transportation</w:t>
            </w:r>
          </w:p>
        </w:tc>
        <w:tc>
          <w:tcPr>
            <w:tcW w:w="3135" w:type="dxa"/>
            <w:tcBorders>
              <w:top w:val="nil"/>
              <w:left w:val="single" w:sz="2" w:space="0" w:color="000000"/>
              <w:bottom w:val="single" w:sz="2" w:space="0" w:color="000000"/>
              <w:right w:val="nil"/>
            </w:tcBorders>
            <w:shd w:val="clear" w:color="auto" w:fill="auto"/>
            <w:tcMar>
              <w:left w:w="54" w:type="dxa"/>
            </w:tcMar>
          </w:tcPr>
          <w:p w14:paraId="1011334E" w14:textId="77777777" w:rsidR="005C330C" w:rsidRPr="00231326" w:rsidRDefault="00A43851">
            <w:pPr>
              <w:pStyle w:val="TableContents"/>
              <w:rPr>
                <w:rFonts w:ascii="Arial" w:hAnsi="Arial"/>
                <w:sz w:val="22"/>
                <w:szCs w:val="22"/>
              </w:rPr>
            </w:pPr>
            <w:r w:rsidRPr="00231326">
              <w:rPr>
                <w:rFonts w:ascii="Arial" w:hAnsi="Arial"/>
                <w:sz w:val="22"/>
                <w:szCs w:val="22"/>
              </w:rPr>
              <w:t>Modest funds to cover airport transfers and other local transportation</w:t>
            </w:r>
          </w:p>
        </w:tc>
        <w:tc>
          <w:tcPr>
            <w:tcW w:w="3135" w:type="dxa"/>
            <w:tcBorders>
              <w:top w:val="nil"/>
              <w:left w:val="single" w:sz="2" w:space="0" w:color="000000"/>
              <w:bottom w:val="single" w:sz="2" w:space="0" w:color="000000"/>
              <w:right w:val="single" w:sz="2" w:space="0" w:color="000000"/>
            </w:tcBorders>
            <w:shd w:val="clear" w:color="auto" w:fill="auto"/>
            <w:tcMar>
              <w:left w:w="54" w:type="dxa"/>
            </w:tcMar>
          </w:tcPr>
          <w:p w14:paraId="7EE9E4E4" w14:textId="77777777" w:rsidR="005C330C" w:rsidRPr="00231326" w:rsidRDefault="00A43851">
            <w:pPr>
              <w:pStyle w:val="TableContents"/>
              <w:rPr>
                <w:rFonts w:ascii="Arial" w:hAnsi="Arial"/>
                <w:sz w:val="22"/>
                <w:szCs w:val="22"/>
              </w:rPr>
            </w:pPr>
            <w:r w:rsidRPr="00231326">
              <w:rPr>
                <w:rFonts w:ascii="Arial" w:hAnsi="Arial"/>
                <w:sz w:val="22"/>
                <w:szCs w:val="22"/>
              </w:rPr>
              <w:t>$</w:t>
            </w:r>
            <w:r w:rsidR="00F672F8" w:rsidRPr="00231326">
              <w:rPr>
                <w:rFonts w:ascii="Arial" w:hAnsi="Arial"/>
                <w:sz w:val="22"/>
                <w:szCs w:val="22"/>
              </w:rPr>
              <w:t>10</w:t>
            </w:r>
            <w:r w:rsidRPr="00231326">
              <w:rPr>
                <w:rFonts w:ascii="Arial" w:hAnsi="Arial"/>
                <w:sz w:val="22"/>
                <w:szCs w:val="22"/>
              </w:rPr>
              <w:t>0</w:t>
            </w:r>
          </w:p>
        </w:tc>
      </w:tr>
      <w:tr w:rsidR="005C330C" w:rsidRPr="00231326" w14:paraId="27BF2C0E" w14:textId="77777777">
        <w:tc>
          <w:tcPr>
            <w:tcW w:w="3134" w:type="dxa"/>
            <w:tcBorders>
              <w:top w:val="nil"/>
              <w:left w:val="single" w:sz="2" w:space="0" w:color="000000"/>
              <w:bottom w:val="single" w:sz="2" w:space="0" w:color="000000"/>
              <w:right w:val="nil"/>
            </w:tcBorders>
            <w:shd w:val="clear" w:color="auto" w:fill="auto"/>
            <w:tcMar>
              <w:left w:w="54" w:type="dxa"/>
            </w:tcMar>
          </w:tcPr>
          <w:p w14:paraId="674ECCE6" w14:textId="77777777" w:rsidR="005C330C" w:rsidRPr="00231326" w:rsidRDefault="00A43851">
            <w:pPr>
              <w:pStyle w:val="TableContents"/>
              <w:rPr>
                <w:rFonts w:ascii="Arial" w:hAnsi="Arial"/>
                <w:sz w:val="22"/>
                <w:szCs w:val="22"/>
              </w:rPr>
            </w:pPr>
            <w:r w:rsidRPr="00231326">
              <w:rPr>
                <w:rFonts w:ascii="Arial" w:hAnsi="Arial"/>
                <w:sz w:val="22"/>
                <w:szCs w:val="22"/>
              </w:rPr>
              <w:t>Meal allowance</w:t>
            </w:r>
          </w:p>
        </w:tc>
        <w:tc>
          <w:tcPr>
            <w:tcW w:w="3135" w:type="dxa"/>
            <w:tcBorders>
              <w:top w:val="nil"/>
              <w:left w:val="single" w:sz="2" w:space="0" w:color="000000"/>
              <w:bottom w:val="single" w:sz="2" w:space="0" w:color="000000"/>
              <w:right w:val="nil"/>
            </w:tcBorders>
            <w:shd w:val="clear" w:color="auto" w:fill="auto"/>
            <w:tcMar>
              <w:left w:w="54" w:type="dxa"/>
            </w:tcMar>
          </w:tcPr>
          <w:p w14:paraId="55177197" w14:textId="77777777" w:rsidR="005C330C" w:rsidRPr="00231326" w:rsidRDefault="00A43851">
            <w:pPr>
              <w:pStyle w:val="TableContents"/>
              <w:rPr>
                <w:rFonts w:ascii="Arial" w:hAnsi="Arial"/>
                <w:sz w:val="22"/>
                <w:szCs w:val="22"/>
              </w:rPr>
            </w:pPr>
            <w:r w:rsidRPr="00231326">
              <w:rPr>
                <w:rFonts w:ascii="Arial" w:hAnsi="Arial"/>
                <w:sz w:val="22"/>
                <w:szCs w:val="22"/>
              </w:rPr>
              <w:t>Meals outside of workshop</w:t>
            </w:r>
          </w:p>
        </w:tc>
        <w:tc>
          <w:tcPr>
            <w:tcW w:w="3135" w:type="dxa"/>
            <w:tcBorders>
              <w:top w:val="nil"/>
              <w:left w:val="single" w:sz="2" w:space="0" w:color="000000"/>
              <w:bottom w:val="single" w:sz="2" w:space="0" w:color="000000"/>
              <w:right w:val="single" w:sz="2" w:space="0" w:color="000000"/>
            </w:tcBorders>
            <w:shd w:val="clear" w:color="auto" w:fill="auto"/>
            <w:tcMar>
              <w:left w:w="54" w:type="dxa"/>
            </w:tcMar>
          </w:tcPr>
          <w:p w14:paraId="7F6D861E" w14:textId="77777777" w:rsidR="005C330C" w:rsidRPr="00231326" w:rsidRDefault="00A43851">
            <w:pPr>
              <w:pStyle w:val="TableContents"/>
              <w:rPr>
                <w:rFonts w:ascii="Arial" w:hAnsi="Arial"/>
                <w:sz w:val="22"/>
                <w:szCs w:val="22"/>
              </w:rPr>
            </w:pPr>
            <w:r w:rsidRPr="00231326">
              <w:rPr>
                <w:rFonts w:ascii="Arial" w:hAnsi="Arial"/>
                <w:sz w:val="22"/>
                <w:szCs w:val="22"/>
              </w:rPr>
              <w:t>$</w:t>
            </w:r>
            <w:r w:rsidR="00D24733" w:rsidRPr="00231326">
              <w:rPr>
                <w:rFonts w:ascii="Arial" w:hAnsi="Arial"/>
                <w:sz w:val="22"/>
                <w:szCs w:val="22"/>
              </w:rPr>
              <w:t>7</w:t>
            </w:r>
            <w:r w:rsidRPr="00231326">
              <w:rPr>
                <w:rFonts w:ascii="Arial" w:hAnsi="Arial"/>
                <w:sz w:val="22"/>
                <w:szCs w:val="22"/>
              </w:rPr>
              <w:t>5</w:t>
            </w:r>
          </w:p>
        </w:tc>
      </w:tr>
      <w:tr w:rsidR="005C330C" w:rsidRPr="00231326" w14:paraId="1CAD742A" w14:textId="77777777">
        <w:tc>
          <w:tcPr>
            <w:tcW w:w="6269" w:type="dxa"/>
            <w:gridSpan w:val="2"/>
            <w:tcBorders>
              <w:top w:val="nil"/>
              <w:left w:val="single" w:sz="2" w:space="0" w:color="000000"/>
              <w:bottom w:val="single" w:sz="2" w:space="0" w:color="000000"/>
              <w:right w:val="nil"/>
            </w:tcBorders>
            <w:shd w:val="clear" w:color="auto" w:fill="auto"/>
            <w:tcMar>
              <w:left w:w="54" w:type="dxa"/>
            </w:tcMar>
          </w:tcPr>
          <w:p w14:paraId="6C09D200" w14:textId="72A76E54" w:rsidR="005C330C" w:rsidRPr="00231326" w:rsidRDefault="00764A7F" w:rsidP="002277A0">
            <w:pPr>
              <w:pStyle w:val="TableContents"/>
              <w:rPr>
                <w:rFonts w:ascii="Arial" w:hAnsi="Arial"/>
                <w:sz w:val="22"/>
                <w:szCs w:val="22"/>
              </w:rPr>
            </w:pPr>
            <w:r w:rsidRPr="00231326">
              <w:rPr>
                <w:rFonts w:ascii="Arial" w:hAnsi="Arial"/>
                <w:sz w:val="22"/>
                <w:szCs w:val="22"/>
              </w:rPr>
              <w:t xml:space="preserve">Total for </w:t>
            </w:r>
            <w:r w:rsidR="002277A0" w:rsidRPr="00231326">
              <w:rPr>
                <w:rFonts w:ascii="Arial" w:hAnsi="Arial"/>
                <w:sz w:val="22"/>
                <w:szCs w:val="22"/>
              </w:rPr>
              <w:t>3</w:t>
            </w:r>
            <w:r w:rsidR="00083AAE" w:rsidRPr="00231326">
              <w:rPr>
                <w:rFonts w:ascii="Arial" w:hAnsi="Arial"/>
                <w:sz w:val="22"/>
                <w:szCs w:val="22"/>
              </w:rPr>
              <w:t>0 p</w:t>
            </w:r>
            <w:r w:rsidR="002277A0" w:rsidRPr="00231326">
              <w:rPr>
                <w:rFonts w:ascii="Arial" w:hAnsi="Arial"/>
                <w:sz w:val="22"/>
                <w:szCs w:val="22"/>
              </w:rPr>
              <w:t>articipants ($1,275x</w:t>
            </w:r>
            <w:r w:rsidR="00C72975" w:rsidRPr="00231326">
              <w:rPr>
                <w:rFonts w:ascii="Arial" w:hAnsi="Arial"/>
                <w:sz w:val="22"/>
                <w:szCs w:val="22"/>
              </w:rPr>
              <w:t>2</w:t>
            </w:r>
            <w:r w:rsidR="002277A0" w:rsidRPr="00231326">
              <w:rPr>
                <w:rFonts w:ascii="Arial" w:hAnsi="Arial"/>
                <w:sz w:val="22"/>
                <w:szCs w:val="22"/>
              </w:rPr>
              <w:t>0)</w:t>
            </w:r>
          </w:p>
        </w:tc>
        <w:tc>
          <w:tcPr>
            <w:tcW w:w="3135" w:type="dxa"/>
            <w:tcBorders>
              <w:top w:val="nil"/>
              <w:left w:val="single" w:sz="2" w:space="0" w:color="000000"/>
              <w:bottom w:val="single" w:sz="2" w:space="0" w:color="000000"/>
              <w:right w:val="single" w:sz="2" w:space="0" w:color="000000"/>
            </w:tcBorders>
            <w:shd w:val="clear" w:color="auto" w:fill="auto"/>
            <w:tcMar>
              <w:left w:w="54" w:type="dxa"/>
            </w:tcMar>
          </w:tcPr>
          <w:p w14:paraId="4FCA3DB0" w14:textId="7E9930E6" w:rsidR="005C330C" w:rsidRPr="00231326" w:rsidRDefault="002277A0" w:rsidP="002277A0">
            <w:pPr>
              <w:pStyle w:val="TableContents"/>
              <w:rPr>
                <w:rFonts w:ascii="Arial" w:hAnsi="Arial"/>
                <w:i/>
                <w:iCs/>
                <w:sz w:val="22"/>
                <w:szCs w:val="22"/>
              </w:rPr>
            </w:pPr>
            <w:r w:rsidRPr="00231326">
              <w:rPr>
                <w:rFonts w:ascii="Arial" w:hAnsi="Arial"/>
                <w:i/>
                <w:iCs/>
                <w:sz w:val="22"/>
                <w:szCs w:val="22"/>
              </w:rPr>
              <w:t>$</w:t>
            </w:r>
            <w:r w:rsidR="00C72975" w:rsidRPr="00231326">
              <w:rPr>
                <w:rFonts w:ascii="Arial" w:hAnsi="Arial"/>
                <w:i/>
                <w:iCs/>
                <w:sz w:val="22"/>
                <w:szCs w:val="22"/>
              </w:rPr>
              <w:t>25</w:t>
            </w:r>
            <w:r w:rsidR="00764A7F" w:rsidRPr="00231326">
              <w:rPr>
                <w:rFonts w:ascii="Arial" w:hAnsi="Arial"/>
                <w:i/>
                <w:iCs/>
                <w:sz w:val="22"/>
                <w:szCs w:val="22"/>
              </w:rPr>
              <w:t>,</w:t>
            </w:r>
            <w:r w:rsidR="00C72975" w:rsidRPr="00231326">
              <w:rPr>
                <w:rFonts w:ascii="Arial" w:hAnsi="Arial"/>
                <w:i/>
                <w:iCs/>
                <w:sz w:val="22"/>
                <w:szCs w:val="22"/>
              </w:rPr>
              <w:t>500</w:t>
            </w:r>
            <w:r w:rsidR="00044562" w:rsidRPr="00231326">
              <w:rPr>
                <w:rFonts w:ascii="Arial" w:hAnsi="Arial"/>
                <w:i/>
                <w:iCs/>
                <w:sz w:val="22"/>
                <w:szCs w:val="22"/>
              </w:rPr>
              <w:t xml:space="preserve"> </w:t>
            </w:r>
          </w:p>
        </w:tc>
      </w:tr>
    </w:tbl>
    <w:p w14:paraId="2CF217F0" w14:textId="5BE40767" w:rsidR="005C330C" w:rsidRPr="00231326" w:rsidRDefault="005C330C">
      <w:pPr>
        <w:pStyle w:val="Sinespaciado"/>
        <w:rPr>
          <w:rFonts w:ascii="Arial" w:hAnsi="Arial"/>
          <w:sz w:val="22"/>
          <w:szCs w:val="22"/>
        </w:rPr>
      </w:pPr>
    </w:p>
    <w:p w14:paraId="55FCED22" w14:textId="505C5AE5" w:rsidR="00C72975" w:rsidRPr="00F923EF" w:rsidRDefault="00C72975">
      <w:pPr>
        <w:pStyle w:val="Sinespaciado"/>
        <w:rPr>
          <w:rFonts w:ascii="Arial" w:hAnsi="Arial"/>
          <w:sz w:val="22"/>
          <w:szCs w:val="22"/>
        </w:rPr>
      </w:pPr>
      <w:r w:rsidRPr="00231326">
        <w:rPr>
          <w:rFonts w:ascii="Arial" w:hAnsi="Arial"/>
          <w:sz w:val="22"/>
          <w:szCs w:val="22"/>
        </w:rPr>
        <w:t xml:space="preserve">The FOWG will also seek an additional support in the sum of </w:t>
      </w:r>
      <w:r w:rsidR="002E001D" w:rsidRPr="00231326">
        <w:rPr>
          <w:rFonts w:ascii="Arial" w:hAnsi="Arial"/>
          <w:sz w:val="22"/>
          <w:szCs w:val="22"/>
        </w:rPr>
        <w:t>$12,750 (10 participants) from the Support Unit’s Peer Exchange Fund in order to complete its planned activities.</w:t>
      </w:r>
    </w:p>
    <w:sectPr w:rsidR="00C72975" w:rsidRPr="00F923EF" w:rsidSect="00C36D35">
      <w:headerReference w:type="default" r:id="rId8"/>
      <w:footerReference w:type="default" r:id="rId9"/>
      <w:pgSz w:w="12240" w:h="15840"/>
      <w:pgMar w:top="1985" w:right="1701" w:bottom="1417" w:left="1701" w:header="706" w:footer="70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B5E7" w14:textId="77777777" w:rsidR="003D5522" w:rsidRDefault="003D5522">
      <w:r>
        <w:separator/>
      </w:r>
    </w:p>
  </w:endnote>
  <w:endnote w:type="continuationSeparator" w:id="0">
    <w:p w14:paraId="58C3062E" w14:textId="77777777" w:rsidR="003D5522" w:rsidRDefault="003D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roid Sans Fallback">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TimesNewRoman,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AD24" w14:textId="77777777" w:rsidR="0041741C" w:rsidRDefault="0041741C">
    <w:pPr>
      <w:pStyle w:val="Piedepgina"/>
    </w:pPr>
    <w:r>
      <w:rPr>
        <w:noProof/>
        <w:lang w:val="es-MX" w:eastAsia="es-MX"/>
      </w:rPr>
      <mc:AlternateContent>
        <mc:Choice Requires="wps">
          <w:drawing>
            <wp:anchor distT="0" distB="0" distL="4294966661" distR="4294966661" simplePos="0" relativeHeight="251657728" behindDoc="0" locked="0" layoutInCell="1" allowOverlap="1" wp14:anchorId="522079E3" wp14:editId="42F0C8AA">
              <wp:simplePos x="0" y="0"/>
              <wp:positionH relativeFrom="column">
                <wp:posOffset>2936875</wp:posOffset>
              </wp:positionH>
              <wp:positionV relativeFrom="paragraph">
                <wp:posOffset>635</wp:posOffset>
              </wp:positionV>
              <wp:extent cx="97790" cy="177800"/>
              <wp:effectExtent l="3175" t="635" r="13335" b="1206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77800"/>
                      </a:xfrm>
                      <a:prstGeom prst="rect">
                        <a:avLst/>
                      </a:prstGeom>
                      <a:solidFill>
                        <a:srgbClr val="FFFFFF">
                          <a:alpha val="0"/>
                        </a:srgbClr>
                      </a:solidFill>
                      <a:ln w="0">
                        <a:solidFill>
                          <a:srgbClr val="000000"/>
                        </a:solidFill>
                        <a:miter lim="800000"/>
                        <a:headEnd/>
                        <a:tailEnd/>
                      </a:ln>
                    </wps:spPr>
                    <wps:txbx>
                      <w:txbxContent>
                        <w:p w14:paraId="2A4EFB60" w14:textId="47A78B00" w:rsidR="0041741C" w:rsidRDefault="0041741C">
                          <w:pPr>
                            <w:pStyle w:val="Piedepgina"/>
                            <w:pBdr>
                              <w:top w:val="nil"/>
                              <w:left w:val="nil"/>
                              <w:bottom w:val="nil"/>
                              <w:right w:val="nil"/>
                            </w:pBdr>
                          </w:pPr>
                          <w:r>
                            <w:fldChar w:fldCharType="begin"/>
                          </w:r>
                          <w:r>
                            <w:instrText>PAGE</w:instrText>
                          </w:r>
                          <w:r>
                            <w:fldChar w:fldCharType="separate"/>
                          </w:r>
                          <w:r w:rsidR="00C36D3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79E3" id="Rectangle 1" o:spid="_x0000_s1026" style="position:absolute;margin-left:231.25pt;margin-top:.05pt;width:7.7pt;height:14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" strokeweight="0">
              <v:fill opacity="0"/>
              <v:textbox inset="0,0,0,0">
                <w:txbxContent>
                  <w:p w14:paraId="2A4EFB60" w14:textId="47A78B00" w:rsidR="0041741C" w:rsidRDefault="0041741C">
                    <w:pPr>
                      <w:pStyle w:val="Piedepgina"/>
                      <w:pBdr>
                        <w:top w:val="nil"/>
                        <w:left w:val="nil"/>
                        <w:bottom w:val="nil"/>
                        <w:right w:val="nil"/>
                      </w:pBdr>
                    </w:pPr>
                    <w:r>
                      <w:fldChar w:fldCharType="begin"/>
                    </w:r>
                    <w:r>
                      <w:instrText>PAGE</w:instrText>
                    </w:r>
                    <w:r>
                      <w:fldChar w:fldCharType="separate"/>
                    </w:r>
                    <w:r w:rsidR="00C36D35">
                      <w:rPr>
                        <w:noProof/>
                      </w:rPr>
                      <w:t>1</w:t>
                    </w:r>
                    <w: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4CC1" w14:textId="77777777" w:rsidR="003D5522" w:rsidRDefault="003D5522">
      <w:r>
        <w:separator/>
      </w:r>
    </w:p>
  </w:footnote>
  <w:footnote w:type="continuationSeparator" w:id="0">
    <w:p w14:paraId="41F3E7CB" w14:textId="77777777" w:rsidR="003D5522" w:rsidRDefault="003D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0846" w14:textId="48F7E863" w:rsidR="0041741C" w:rsidRPr="00C36D35" w:rsidRDefault="00CD3EA7">
    <w:pPr>
      <w:pStyle w:val="Encabezado"/>
      <w:jc w:val="right"/>
      <w:rPr>
        <w:rFonts w:ascii="Arial Narrow" w:hAnsi="Arial Narrow"/>
        <w:color w:val="FF3300"/>
        <w:sz w:val="20"/>
        <w:szCs w:val="20"/>
      </w:rPr>
    </w:pPr>
    <w:r w:rsidRPr="00C36D35">
      <w:rPr>
        <w:rFonts w:eastAsiaTheme="majorEastAsia"/>
        <w:noProof/>
        <w:color w:val="FF3300"/>
        <w:lang w:val="es-MX" w:eastAsia="es-MX"/>
      </w:rPr>
      <w:drawing>
        <wp:anchor distT="0" distB="0" distL="114300" distR="114300" simplePos="0" relativeHeight="251659776" behindDoc="1" locked="0" layoutInCell="1" allowOverlap="1" wp14:anchorId="699AFD32" wp14:editId="30CEB2C2">
          <wp:simplePos x="0" y="0"/>
          <wp:positionH relativeFrom="column">
            <wp:posOffset>-50165</wp:posOffset>
          </wp:positionH>
          <wp:positionV relativeFrom="paragraph">
            <wp:posOffset>-213995</wp:posOffset>
          </wp:positionV>
          <wp:extent cx="1008000" cy="671706"/>
          <wp:effectExtent l="0" t="0" r="190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008000" cy="67170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1741C" w:rsidRPr="00C36D35">
      <w:rPr>
        <w:rFonts w:ascii="Arial Narrow" w:hAnsi="Arial Narrow"/>
        <w:color w:val="FF3300"/>
        <w:sz w:val="20"/>
        <w:szCs w:val="20"/>
      </w:rPr>
      <w:t>Fiscal Openness Working Group</w:t>
    </w:r>
  </w:p>
  <w:p w14:paraId="3CAF438A" w14:textId="4FC453C1" w:rsidR="0041741C" w:rsidRPr="00C36D35" w:rsidRDefault="0041741C">
    <w:pPr>
      <w:pStyle w:val="Encabezado"/>
      <w:jc w:val="right"/>
      <w:rPr>
        <w:rFonts w:ascii="Arial Narrow" w:hAnsi="Arial Narrow"/>
        <w:color w:val="FF3300"/>
        <w:sz w:val="20"/>
        <w:szCs w:val="20"/>
      </w:rPr>
    </w:pPr>
    <w:r w:rsidRPr="00C36D35">
      <w:rPr>
        <w:rFonts w:ascii="Arial Narrow" w:hAnsi="Arial Narrow"/>
        <w:color w:val="FF3300"/>
        <w:sz w:val="20"/>
        <w:szCs w:val="20"/>
      </w:rPr>
      <w:t>2017 Work Plan and Funding Proposal</w:t>
    </w:r>
  </w:p>
  <w:p w14:paraId="2ABEE45E" w14:textId="7A1EDF45" w:rsidR="0041741C" w:rsidRPr="00C36D35" w:rsidRDefault="00475558">
    <w:pPr>
      <w:pStyle w:val="Encabezado"/>
      <w:jc w:val="right"/>
      <w:rPr>
        <w:rFonts w:ascii="Arial Narrow" w:hAnsi="Arial Narrow"/>
        <w:color w:val="FF3300"/>
        <w:sz w:val="20"/>
        <w:szCs w:val="20"/>
      </w:rPr>
    </w:pPr>
    <w:r w:rsidRPr="00C36D35">
      <w:rPr>
        <w:rFonts w:ascii="Arial Narrow" w:hAnsi="Arial Narrow"/>
        <w:color w:val="FF3300"/>
        <w:sz w:val="20"/>
        <w:szCs w:val="20"/>
      </w:rPr>
      <w:t>March 17</w:t>
    </w:r>
    <w:r w:rsidR="0041741C" w:rsidRPr="00C36D35">
      <w:rPr>
        <w:rFonts w:ascii="Arial Narrow" w:hAnsi="Arial Narrow"/>
        <w:color w:val="FF3300"/>
        <w:sz w:val="20"/>
        <w:szCs w:val="20"/>
      </w:rPr>
      <w:t>, 2017</w:t>
    </w:r>
  </w:p>
  <w:p w14:paraId="784BBED0" w14:textId="77777777" w:rsidR="0041741C" w:rsidRDefault="004174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2DB"/>
    <w:multiLevelType w:val="multilevel"/>
    <w:tmpl w:val="7182E1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C043318"/>
    <w:multiLevelType w:val="hybridMultilevel"/>
    <w:tmpl w:val="A8B46E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435D029C"/>
    <w:multiLevelType w:val="hybridMultilevel"/>
    <w:tmpl w:val="B6BAA2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4BD21A2"/>
    <w:multiLevelType w:val="multilevel"/>
    <w:tmpl w:val="18224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0C"/>
    <w:rsid w:val="000221AB"/>
    <w:rsid w:val="00044562"/>
    <w:rsid w:val="00083AAE"/>
    <w:rsid w:val="000A1FA4"/>
    <w:rsid w:val="000E08BB"/>
    <w:rsid w:val="000E7EC6"/>
    <w:rsid w:val="00143B7E"/>
    <w:rsid w:val="00147EF5"/>
    <w:rsid w:val="001A7C85"/>
    <w:rsid w:val="001B0332"/>
    <w:rsid w:val="001E2CFC"/>
    <w:rsid w:val="001E3147"/>
    <w:rsid w:val="001E3AB1"/>
    <w:rsid w:val="001F1D51"/>
    <w:rsid w:val="001F63B5"/>
    <w:rsid w:val="00202E81"/>
    <w:rsid w:val="00225D70"/>
    <w:rsid w:val="002277A0"/>
    <w:rsid w:val="00231326"/>
    <w:rsid w:val="002435F6"/>
    <w:rsid w:val="0024794D"/>
    <w:rsid w:val="0029296C"/>
    <w:rsid w:val="002973FB"/>
    <w:rsid w:val="002A648F"/>
    <w:rsid w:val="002E001D"/>
    <w:rsid w:val="00333D34"/>
    <w:rsid w:val="003A6649"/>
    <w:rsid w:val="003B0915"/>
    <w:rsid w:val="003D5522"/>
    <w:rsid w:val="003E32AD"/>
    <w:rsid w:val="0041023E"/>
    <w:rsid w:val="0041741C"/>
    <w:rsid w:val="00432614"/>
    <w:rsid w:val="00436A47"/>
    <w:rsid w:val="00446DEE"/>
    <w:rsid w:val="00456278"/>
    <w:rsid w:val="004721F8"/>
    <w:rsid w:val="00475558"/>
    <w:rsid w:val="004867B2"/>
    <w:rsid w:val="004E67E4"/>
    <w:rsid w:val="004E6E8A"/>
    <w:rsid w:val="004F5741"/>
    <w:rsid w:val="005101F9"/>
    <w:rsid w:val="00511149"/>
    <w:rsid w:val="00521495"/>
    <w:rsid w:val="00547B39"/>
    <w:rsid w:val="0055740F"/>
    <w:rsid w:val="00571DDD"/>
    <w:rsid w:val="00571F43"/>
    <w:rsid w:val="005A34CD"/>
    <w:rsid w:val="005B3D8A"/>
    <w:rsid w:val="005B598C"/>
    <w:rsid w:val="005C330C"/>
    <w:rsid w:val="005F6754"/>
    <w:rsid w:val="00655F82"/>
    <w:rsid w:val="006616CC"/>
    <w:rsid w:val="00685D9E"/>
    <w:rsid w:val="00685E75"/>
    <w:rsid w:val="006A58B7"/>
    <w:rsid w:val="006B2B9F"/>
    <w:rsid w:val="006F01AF"/>
    <w:rsid w:val="00715732"/>
    <w:rsid w:val="0071593A"/>
    <w:rsid w:val="00727497"/>
    <w:rsid w:val="00736410"/>
    <w:rsid w:val="00764A7F"/>
    <w:rsid w:val="00765CA4"/>
    <w:rsid w:val="007905FC"/>
    <w:rsid w:val="007B79AC"/>
    <w:rsid w:val="007F7730"/>
    <w:rsid w:val="008102C0"/>
    <w:rsid w:val="00844EA4"/>
    <w:rsid w:val="00850B2A"/>
    <w:rsid w:val="008573D4"/>
    <w:rsid w:val="0087410D"/>
    <w:rsid w:val="008A6009"/>
    <w:rsid w:val="008C00FA"/>
    <w:rsid w:val="0095446C"/>
    <w:rsid w:val="00997E21"/>
    <w:rsid w:val="009B6A69"/>
    <w:rsid w:val="00A43851"/>
    <w:rsid w:val="00A502AC"/>
    <w:rsid w:val="00A71EFA"/>
    <w:rsid w:val="00A95230"/>
    <w:rsid w:val="00A95646"/>
    <w:rsid w:val="00AD1BCA"/>
    <w:rsid w:val="00AE4675"/>
    <w:rsid w:val="00B437AA"/>
    <w:rsid w:val="00BE0BB3"/>
    <w:rsid w:val="00C00A50"/>
    <w:rsid w:val="00C36D35"/>
    <w:rsid w:val="00C72975"/>
    <w:rsid w:val="00C82291"/>
    <w:rsid w:val="00C83769"/>
    <w:rsid w:val="00CA3C8A"/>
    <w:rsid w:val="00CB2CF0"/>
    <w:rsid w:val="00CD3EA7"/>
    <w:rsid w:val="00D24733"/>
    <w:rsid w:val="00D371AB"/>
    <w:rsid w:val="00D51499"/>
    <w:rsid w:val="00D7733D"/>
    <w:rsid w:val="00DF0AD5"/>
    <w:rsid w:val="00E0508D"/>
    <w:rsid w:val="00E7308A"/>
    <w:rsid w:val="00E836E2"/>
    <w:rsid w:val="00E87404"/>
    <w:rsid w:val="00EA474C"/>
    <w:rsid w:val="00ED3764"/>
    <w:rsid w:val="00ED5139"/>
    <w:rsid w:val="00F54DB3"/>
    <w:rsid w:val="00F672F8"/>
    <w:rsid w:val="00F923EF"/>
    <w:rsid w:val="00FB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7BF7F"/>
  <w15:docId w15:val="{932F9B99-DA4A-4BED-9868-6EA20580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Droid Sans Fallback" w:hAnsi="Cambria"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4D"/>
    <w:pPr>
      <w:suppressAutoHyphens/>
    </w:pPr>
  </w:style>
  <w:style w:type="paragraph" w:styleId="Ttulo1">
    <w:name w:val="heading 1"/>
    <w:basedOn w:val="Normal"/>
    <w:next w:val="Normal"/>
    <w:link w:val="Ttulo1Car"/>
    <w:uiPriority w:val="9"/>
    <w:qFormat/>
    <w:rsid w:val="0033417A"/>
    <w:pPr>
      <w:keepNext/>
      <w:keepLines/>
      <w:spacing w:before="480"/>
      <w:outlineLvl w:val="0"/>
    </w:pPr>
    <w:rPr>
      <w:rFonts w:ascii="Calibri" w:hAnsi="Calibri"/>
      <w:b/>
      <w:bCs/>
      <w:color w:val="345A8A"/>
      <w:sz w:val="32"/>
      <w:szCs w:val="32"/>
    </w:rPr>
  </w:style>
  <w:style w:type="paragraph" w:styleId="Ttulo2">
    <w:name w:val="heading 2"/>
    <w:basedOn w:val="Normal"/>
    <w:next w:val="Normal"/>
    <w:link w:val="Ttulo2Car"/>
    <w:uiPriority w:val="9"/>
    <w:unhideWhenUsed/>
    <w:qFormat/>
    <w:rsid w:val="0033417A"/>
    <w:pPr>
      <w:keepNext/>
      <w:keepLines/>
      <w:spacing w:before="200"/>
      <w:outlineLvl w:val="1"/>
    </w:pPr>
    <w:rPr>
      <w:rFonts w:ascii="Calibri" w:hAnsi="Calibri"/>
      <w:b/>
      <w:bCs/>
      <w:color w:val="4F81BD"/>
      <w:sz w:val="26"/>
      <w:szCs w:val="26"/>
    </w:rPr>
  </w:style>
  <w:style w:type="paragraph" w:styleId="Ttulo3">
    <w:name w:val="heading 3"/>
    <w:basedOn w:val="Normal"/>
    <w:next w:val="Normal"/>
    <w:link w:val="Ttulo3Car"/>
    <w:uiPriority w:val="9"/>
    <w:unhideWhenUsed/>
    <w:qFormat/>
    <w:rsid w:val="00E72084"/>
    <w:pPr>
      <w:keepNext/>
      <w:keepLines/>
      <w:spacing w:before="200"/>
      <w:outlineLvl w:val="2"/>
    </w:pPr>
    <w:rPr>
      <w:rFonts w:ascii="Calibri" w:hAnsi="Calibri"/>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686DA2"/>
  </w:style>
  <w:style w:type="character" w:styleId="Nmerodepgina">
    <w:name w:val="page number"/>
    <w:basedOn w:val="Fuentedeprrafopredeter"/>
    <w:uiPriority w:val="99"/>
    <w:semiHidden/>
    <w:unhideWhenUsed/>
    <w:rsid w:val="00686DA2"/>
  </w:style>
  <w:style w:type="character" w:customStyle="1" w:styleId="EncabezadoCar">
    <w:name w:val="Encabezado Car"/>
    <w:basedOn w:val="Fuentedeprrafopredeter"/>
    <w:link w:val="Encabezado"/>
    <w:uiPriority w:val="99"/>
    <w:rsid w:val="00686DA2"/>
  </w:style>
  <w:style w:type="character" w:customStyle="1" w:styleId="Ttulo1Car">
    <w:name w:val="Título 1 Car"/>
    <w:basedOn w:val="Fuentedeprrafopredeter"/>
    <w:link w:val="Ttulo1"/>
    <w:uiPriority w:val="9"/>
    <w:rsid w:val="0033417A"/>
    <w:rPr>
      <w:rFonts w:ascii="Calibri" w:hAnsi="Calibri"/>
      <w:b/>
      <w:bCs/>
      <w:color w:val="345A8A"/>
      <w:sz w:val="32"/>
      <w:szCs w:val="32"/>
    </w:rPr>
  </w:style>
  <w:style w:type="character" w:customStyle="1" w:styleId="Ttulo2Car">
    <w:name w:val="Título 2 Car"/>
    <w:basedOn w:val="Fuentedeprrafopredeter"/>
    <w:link w:val="Ttulo2"/>
    <w:uiPriority w:val="9"/>
    <w:rsid w:val="0033417A"/>
    <w:rPr>
      <w:rFonts w:ascii="Calibri" w:hAnsi="Calibri"/>
      <w:b/>
      <w:bCs/>
      <w:color w:val="4F81BD"/>
      <w:sz w:val="26"/>
      <w:szCs w:val="26"/>
    </w:rPr>
  </w:style>
  <w:style w:type="character" w:customStyle="1" w:styleId="Ttulo3Car">
    <w:name w:val="Título 3 Car"/>
    <w:basedOn w:val="Fuentedeprrafopredeter"/>
    <w:link w:val="Ttulo3"/>
    <w:uiPriority w:val="9"/>
    <w:rsid w:val="00E72084"/>
    <w:rPr>
      <w:rFonts w:ascii="Calibri" w:hAnsi="Calibri"/>
      <w:b/>
      <w:bCs/>
      <w:color w:val="4F81BD"/>
    </w:rPr>
  </w:style>
  <w:style w:type="character" w:customStyle="1" w:styleId="TextodegloboCar">
    <w:name w:val="Texto de globo Car"/>
    <w:basedOn w:val="Fuentedeprrafopredeter"/>
    <w:link w:val="Textodeglobo"/>
    <w:uiPriority w:val="99"/>
    <w:semiHidden/>
    <w:rsid w:val="00DF3127"/>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Arial"/>
    </w:rPr>
  </w:style>
  <w:style w:type="character" w:customStyle="1" w:styleId="ListLabel4">
    <w:name w:val="ListLabel 4"/>
    <w:rPr>
      <w:i/>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Descripci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Piedepgina">
    <w:name w:val="footer"/>
    <w:basedOn w:val="Normal"/>
    <w:link w:val="PiedepginaCar"/>
    <w:uiPriority w:val="99"/>
    <w:unhideWhenUsed/>
    <w:rsid w:val="00686DA2"/>
    <w:pPr>
      <w:tabs>
        <w:tab w:val="center" w:pos="4320"/>
        <w:tab w:val="right" w:pos="8640"/>
      </w:tabs>
    </w:pPr>
  </w:style>
  <w:style w:type="paragraph" w:styleId="Encabezado">
    <w:name w:val="header"/>
    <w:basedOn w:val="Normal"/>
    <w:link w:val="EncabezadoCar"/>
    <w:uiPriority w:val="99"/>
    <w:unhideWhenUsed/>
    <w:rsid w:val="00686DA2"/>
    <w:pPr>
      <w:tabs>
        <w:tab w:val="center" w:pos="4320"/>
        <w:tab w:val="right" w:pos="8640"/>
      </w:tabs>
    </w:pPr>
  </w:style>
  <w:style w:type="paragraph" w:styleId="Prrafodelista">
    <w:name w:val="List Paragraph"/>
    <w:basedOn w:val="Normal"/>
    <w:uiPriority w:val="34"/>
    <w:qFormat/>
    <w:rsid w:val="00110A6C"/>
    <w:pPr>
      <w:ind w:left="720"/>
      <w:contextualSpacing/>
    </w:pPr>
  </w:style>
  <w:style w:type="paragraph" w:styleId="Sinespaciado">
    <w:name w:val="No Spacing"/>
    <w:uiPriority w:val="1"/>
    <w:qFormat/>
    <w:rsid w:val="007D10F2"/>
    <w:pPr>
      <w:suppressAutoHyphens/>
    </w:pPr>
  </w:style>
  <w:style w:type="paragraph" w:customStyle="1" w:styleId="Default">
    <w:name w:val="Default"/>
    <w:rsid w:val="003C122B"/>
    <w:pPr>
      <w:suppressAutoHyphens/>
    </w:pPr>
    <w:rPr>
      <w:rFonts w:ascii="TimesNewRoman,Bold" w:eastAsia="Times New Roman" w:hAnsi="TimesNewRoman,Bold"/>
      <w:sz w:val="20"/>
      <w:szCs w:val="20"/>
    </w:rPr>
  </w:style>
  <w:style w:type="paragraph" w:styleId="Textodeglobo">
    <w:name w:val="Balloon Text"/>
    <w:basedOn w:val="Normal"/>
    <w:link w:val="TextodegloboCar"/>
    <w:uiPriority w:val="99"/>
    <w:semiHidden/>
    <w:unhideWhenUsed/>
    <w:rsid w:val="00DF3127"/>
    <w:rPr>
      <w:rFonts w:ascii="Segoe UI" w:hAnsi="Segoe UI" w:cs="Segoe UI"/>
      <w:sz w:val="18"/>
      <w:szCs w:val="18"/>
    </w:rPr>
  </w:style>
  <w:style w:type="paragraph" w:customStyle="1" w:styleId="FrameContents">
    <w:name w:val="Frame Contents"/>
    <w:basedOn w:val="Normal"/>
  </w:style>
  <w:style w:type="paragraph" w:customStyle="1" w:styleId="Quotations">
    <w:name w:val="Quotations"/>
    <w:basedOn w:val="Normal"/>
  </w:style>
  <w:style w:type="paragraph" w:styleId="Ttulo">
    <w:name w:val="Title"/>
    <w:basedOn w:val="Heading"/>
  </w:style>
  <w:style w:type="paragraph" w:styleId="Subttulo">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table" w:styleId="Tablaconcuadrcula">
    <w:name w:val="Table Grid"/>
    <w:basedOn w:val="Tablanormal"/>
    <w:uiPriority w:val="59"/>
    <w:rsid w:val="008A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43851"/>
    <w:rPr>
      <w:sz w:val="18"/>
      <w:szCs w:val="18"/>
    </w:rPr>
  </w:style>
  <w:style w:type="paragraph" w:styleId="Textocomentario">
    <w:name w:val="annotation text"/>
    <w:basedOn w:val="Normal"/>
    <w:link w:val="TextocomentarioCar"/>
    <w:uiPriority w:val="99"/>
    <w:semiHidden/>
    <w:unhideWhenUsed/>
    <w:rsid w:val="00A43851"/>
  </w:style>
  <w:style w:type="character" w:customStyle="1" w:styleId="TextocomentarioCar">
    <w:name w:val="Texto comentario Car"/>
    <w:basedOn w:val="Fuentedeprrafopredeter"/>
    <w:link w:val="Textocomentario"/>
    <w:uiPriority w:val="99"/>
    <w:semiHidden/>
    <w:rsid w:val="00A43851"/>
  </w:style>
  <w:style w:type="paragraph" w:styleId="Asuntodelcomentario">
    <w:name w:val="annotation subject"/>
    <w:basedOn w:val="Textocomentario"/>
    <w:next w:val="Textocomentario"/>
    <w:link w:val="AsuntodelcomentarioCar"/>
    <w:uiPriority w:val="99"/>
    <w:semiHidden/>
    <w:unhideWhenUsed/>
    <w:rsid w:val="00A43851"/>
    <w:rPr>
      <w:b/>
      <w:bCs/>
      <w:sz w:val="20"/>
      <w:szCs w:val="20"/>
    </w:rPr>
  </w:style>
  <w:style w:type="character" w:customStyle="1" w:styleId="AsuntodelcomentarioCar">
    <w:name w:val="Asunto del comentario Car"/>
    <w:basedOn w:val="TextocomentarioCar"/>
    <w:link w:val="Asuntodelcomentario"/>
    <w:uiPriority w:val="99"/>
    <w:semiHidden/>
    <w:rsid w:val="00A43851"/>
    <w:rPr>
      <w:b/>
      <w:bCs/>
      <w:sz w:val="20"/>
      <w:szCs w:val="20"/>
    </w:rPr>
  </w:style>
  <w:style w:type="character" w:customStyle="1" w:styleId="apple-converted-space">
    <w:name w:val="apple-converted-space"/>
    <w:basedOn w:val="Fuentedeprrafopredeter"/>
    <w:rsid w:val="00143B7E"/>
  </w:style>
  <w:style w:type="character" w:customStyle="1" w:styleId="aqj">
    <w:name w:val="aqj"/>
    <w:basedOn w:val="Fuentedeprrafopredeter"/>
    <w:rsid w:val="00143B7E"/>
  </w:style>
  <w:style w:type="character" w:styleId="Hipervnculo">
    <w:name w:val="Hyperlink"/>
    <w:basedOn w:val="Fuentedeprrafopredeter"/>
    <w:uiPriority w:val="99"/>
    <w:semiHidden/>
    <w:unhideWhenUsed/>
    <w:rsid w:val="00143B7E"/>
    <w:rPr>
      <w:color w:val="0000FF"/>
      <w:u w:val="single"/>
    </w:rPr>
  </w:style>
  <w:style w:type="character" w:customStyle="1" w:styleId="il">
    <w:name w:val="il"/>
    <w:basedOn w:val="Fuentedeprrafopredeter"/>
    <w:rsid w:val="00143B7E"/>
  </w:style>
  <w:style w:type="character" w:customStyle="1" w:styleId="m-2013500314835217229gmail-msocommentreference">
    <w:name w:val="m_-2013500314835217229gmail-msocommentreference"/>
    <w:basedOn w:val="Fuentedeprrafopredeter"/>
    <w:rsid w:val="0071593A"/>
  </w:style>
  <w:style w:type="paragraph" w:styleId="NormalWeb">
    <w:name w:val="Normal (Web)"/>
    <w:basedOn w:val="Normal"/>
    <w:uiPriority w:val="99"/>
    <w:unhideWhenUsed/>
    <w:rsid w:val="00A502AC"/>
    <w:pPr>
      <w:suppressAutoHyphens w:val="0"/>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2436">
      <w:bodyDiv w:val="1"/>
      <w:marLeft w:val="0"/>
      <w:marRight w:val="0"/>
      <w:marTop w:val="0"/>
      <w:marBottom w:val="0"/>
      <w:divBdr>
        <w:top w:val="none" w:sz="0" w:space="0" w:color="auto"/>
        <w:left w:val="none" w:sz="0" w:space="0" w:color="auto"/>
        <w:bottom w:val="none" w:sz="0" w:space="0" w:color="auto"/>
        <w:right w:val="none" w:sz="0" w:space="0" w:color="auto"/>
      </w:divBdr>
    </w:div>
    <w:div w:id="565922372">
      <w:bodyDiv w:val="1"/>
      <w:marLeft w:val="0"/>
      <w:marRight w:val="0"/>
      <w:marTop w:val="0"/>
      <w:marBottom w:val="0"/>
      <w:divBdr>
        <w:top w:val="none" w:sz="0" w:space="0" w:color="auto"/>
        <w:left w:val="none" w:sz="0" w:space="0" w:color="auto"/>
        <w:bottom w:val="none" w:sz="0" w:space="0" w:color="auto"/>
        <w:right w:val="none" w:sz="0" w:space="0" w:color="auto"/>
      </w:divBdr>
      <w:divsChild>
        <w:div w:id="1443721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9091">
      <w:bodyDiv w:val="1"/>
      <w:marLeft w:val="0"/>
      <w:marRight w:val="0"/>
      <w:marTop w:val="0"/>
      <w:marBottom w:val="0"/>
      <w:divBdr>
        <w:top w:val="none" w:sz="0" w:space="0" w:color="auto"/>
        <w:left w:val="none" w:sz="0" w:space="0" w:color="auto"/>
        <w:bottom w:val="none" w:sz="0" w:space="0" w:color="auto"/>
        <w:right w:val="none" w:sz="0" w:space="0" w:color="auto"/>
      </w:divBdr>
      <w:divsChild>
        <w:div w:id="492796150">
          <w:marLeft w:val="0"/>
          <w:marRight w:val="0"/>
          <w:marTop w:val="0"/>
          <w:marBottom w:val="0"/>
          <w:divBdr>
            <w:top w:val="none" w:sz="0" w:space="0" w:color="auto"/>
            <w:left w:val="none" w:sz="0" w:space="0" w:color="auto"/>
            <w:bottom w:val="none" w:sz="0" w:space="0" w:color="auto"/>
            <w:right w:val="none" w:sz="0" w:space="0" w:color="auto"/>
          </w:divBdr>
        </w:div>
        <w:div w:id="560407927">
          <w:marLeft w:val="0"/>
          <w:marRight w:val="0"/>
          <w:marTop w:val="0"/>
          <w:marBottom w:val="0"/>
          <w:divBdr>
            <w:top w:val="none" w:sz="0" w:space="0" w:color="auto"/>
            <w:left w:val="none" w:sz="0" w:space="0" w:color="auto"/>
            <w:bottom w:val="none" w:sz="0" w:space="0" w:color="auto"/>
            <w:right w:val="none" w:sz="0" w:space="0" w:color="auto"/>
          </w:divBdr>
        </w:div>
        <w:div w:id="1478451910">
          <w:marLeft w:val="0"/>
          <w:marRight w:val="0"/>
          <w:marTop w:val="0"/>
          <w:marBottom w:val="0"/>
          <w:divBdr>
            <w:top w:val="none" w:sz="0" w:space="0" w:color="auto"/>
            <w:left w:val="none" w:sz="0" w:space="0" w:color="auto"/>
            <w:bottom w:val="none" w:sz="0" w:space="0" w:color="auto"/>
            <w:right w:val="none" w:sz="0" w:space="0" w:color="auto"/>
          </w:divBdr>
        </w:div>
        <w:div w:id="1489634565">
          <w:marLeft w:val="0"/>
          <w:marRight w:val="0"/>
          <w:marTop w:val="0"/>
          <w:marBottom w:val="0"/>
          <w:divBdr>
            <w:top w:val="none" w:sz="0" w:space="0" w:color="auto"/>
            <w:left w:val="none" w:sz="0" w:space="0" w:color="auto"/>
            <w:bottom w:val="none" w:sz="0" w:space="0" w:color="auto"/>
            <w:right w:val="none" w:sz="0" w:space="0" w:color="auto"/>
          </w:divBdr>
        </w:div>
        <w:div w:id="346059272">
          <w:marLeft w:val="0"/>
          <w:marRight w:val="0"/>
          <w:marTop w:val="0"/>
          <w:marBottom w:val="0"/>
          <w:divBdr>
            <w:top w:val="none" w:sz="0" w:space="0" w:color="auto"/>
            <w:left w:val="none" w:sz="0" w:space="0" w:color="auto"/>
            <w:bottom w:val="none" w:sz="0" w:space="0" w:color="auto"/>
            <w:right w:val="none" w:sz="0" w:space="0" w:color="auto"/>
          </w:divBdr>
        </w:div>
        <w:div w:id="1126506022">
          <w:marLeft w:val="0"/>
          <w:marRight w:val="0"/>
          <w:marTop w:val="0"/>
          <w:marBottom w:val="0"/>
          <w:divBdr>
            <w:top w:val="none" w:sz="0" w:space="0" w:color="auto"/>
            <w:left w:val="none" w:sz="0" w:space="0" w:color="auto"/>
            <w:bottom w:val="none" w:sz="0" w:space="0" w:color="auto"/>
            <w:right w:val="none" w:sz="0" w:space="0" w:color="auto"/>
          </w:divBdr>
        </w:div>
        <w:div w:id="703943069">
          <w:marLeft w:val="0"/>
          <w:marRight w:val="0"/>
          <w:marTop w:val="0"/>
          <w:marBottom w:val="0"/>
          <w:divBdr>
            <w:top w:val="none" w:sz="0" w:space="0" w:color="auto"/>
            <w:left w:val="none" w:sz="0" w:space="0" w:color="auto"/>
            <w:bottom w:val="none" w:sz="0" w:space="0" w:color="auto"/>
            <w:right w:val="none" w:sz="0" w:space="0" w:color="auto"/>
          </w:divBdr>
        </w:div>
        <w:div w:id="163206444">
          <w:marLeft w:val="0"/>
          <w:marRight w:val="0"/>
          <w:marTop w:val="0"/>
          <w:marBottom w:val="0"/>
          <w:divBdr>
            <w:top w:val="none" w:sz="0" w:space="0" w:color="auto"/>
            <w:left w:val="none" w:sz="0" w:space="0" w:color="auto"/>
            <w:bottom w:val="none" w:sz="0" w:space="0" w:color="auto"/>
            <w:right w:val="none" w:sz="0" w:space="0" w:color="auto"/>
          </w:divBdr>
        </w:div>
        <w:div w:id="390080080">
          <w:marLeft w:val="0"/>
          <w:marRight w:val="0"/>
          <w:marTop w:val="0"/>
          <w:marBottom w:val="0"/>
          <w:divBdr>
            <w:top w:val="none" w:sz="0" w:space="0" w:color="auto"/>
            <w:left w:val="none" w:sz="0" w:space="0" w:color="auto"/>
            <w:bottom w:val="none" w:sz="0" w:space="0" w:color="auto"/>
            <w:right w:val="none" w:sz="0" w:space="0" w:color="auto"/>
          </w:divBdr>
        </w:div>
        <w:div w:id="1789349458">
          <w:marLeft w:val="0"/>
          <w:marRight w:val="0"/>
          <w:marTop w:val="0"/>
          <w:marBottom w:val="0"/>
          <w:divBdr>
            <w:top w:val="none" w:sz="0" w:space="0" w:color="auto"/>
            <w:left w:val="none" w:sz="0" w:space="0" w:color="auto"/>
            <w:bottom w:val="none" w:sz="0" w:space="0" w:color="auto"/>
            <w:right w:val="none" w:sz="0" w:space="0" w:color="auto"/>
          </w:divBdr>
        </w:div>
        <w:div w:id="964387816">
          <w:marLeft w:val="0"/>
          <w:marRight w:val="0"/>
          <w:marTop w:val="0"/>
          <w:marBottom w:val="0"/>
          <w:divBdr>
            <w:top w:val="none" w:sz="0" w:space="0" w:color="auto"/>
            <w:left w:val="none" w:sz="0" w:space="0" w:color="auto"/>
            <w:bottom w:val="none" w:sz="0" w:space="0" w:color="auto"/>
            <w:right w:val="none" w:sz="0" w:space="0" w:color="auto"/>
          </w:divBdr>
        </w:div>
        <w:div w:id="1584683492">
          <w:marLeft w:val="0"/>
          <w:marRight w:val="0"/>
          <w:marTop w:val="0"/>
          <w:marBottom w:val="0"/>
          <w:divBdr>
            <w:top w:val="none" w:sz="0" w:space="0" w:color="auto"/>
            <w:left w:val="none" w:sz="0" w:space="0" w:color="auto"/>
            <w:bottom w:val="none" w:sz="0" w:space="0" w:color="auto"/>
            <w:right w:val="none" w:sz="0" w:space="0" w:color="auto"/>
          </w:divBdr>
        </w:div>
        <w:div w:id="568463473">
          <w:marLeft w:val="0"/>
          <w:marRight w:val="0"/>
          <w:marTop w:val="0"/>
          <w:marBottom w:val="0"/>
          <w:divBdr>
            <w:top w:val="none" w:sz="0" w:space="0" w:color="auto"/>
            <w:left w:val="none" w:sz="0" w:space="0" w:color="auto"/>
            <w:bottom w:val="none" w:sz="0" w:space="0" w:color="auto"/>
            <w:right w:val="none" w:sz="0" w:space="0" w:color="auto"/>
          </w:divBdr>
        </w:div>
        <w:div w:id="1412195415">
          <w:marLeft w:val="0"/>
          <w:marRight w:val="0"/>
          <w:marTop w:val="0"/>
          <w:marBottom w:val="0"/>
          <w:divBdr>
            <w:top w:val="none" w:sz="0" w:space="0" w:color="auto"/>
            <w:left w:val="none" w:sz="0" w:space="0" w:color="auto"/>
            <w:bottom w:val="none" w:sz="0" w:space="0" w:color="auto"/>
            <w:right w:val="none" w:sz="0" w:space="0" w:color="auto"/>
          </w:divBdr>
        </w:div>
        <w:div w:id="205262166">
          <w:marLeft w:val="0"/>
          <w:marRight w:val="0"/>
          <w:marTop w:val="0"/>
          <w:marBottom w:val="0"/>
          <w:divBdr>
            <w:top w:val="none" w:sz="0" w:space="0" w:color="auto"/>
            <w:left w:val="none" w:sz="0" w:space="0" w:color="auto"/>
            <w:bottom w:val="none" w:sz="0" w:space="0" w:color="auto"/>
            <w:right w:val="none" w:sz="0" w:space="0" w:color="auto"/>
          </w:divBdr>
        </w:div>
        <w:div w:id="572130006">
          <w:marLeft w:val="0"/>
          <w:marRight w:val="0"/>
          <w:marTop w:val="0"/>
          <w:marBottom w:val="0"/>
          <w:divBdr>
            <w:top w:val="none" w:sz="0" w:space="0" w:color="auto"/>
            <w:left w:val="none" w:sz="0" w:space="0" w:color="auto"/>
            <w:bottom w:val="none" w:sz="0" w:space="0" w:color="auto"/>
            <w:right w:val="none" w:sz="0" w:space="0" w:color="auto"/>
          </w:divBdr>
        </w:div>
        <w:div w:id="1529875620">
          <w:marLeft w:val="0"/>
          <w:marRight w:val="0"/>
          <w:marTop w:val="0"/>
          <w:marBottom w:val="0"/>
          <w:divBdr>
            <w:top w:val="none" w:sz="0" w:space="0" w:color="auto"/>
            <w:left w:val="none" w:sz="0" w:space="0" w:color="auto"/>
            <w:bottom w:val="none" w:sz="0" w:space="0" w:color="auto"/>
            <w:right w:val="none" w:sz="0" w:space="0" w:color="auto"/>
          </w:divBdr>
        </w:div>
        <w:div w:id="1977298526">
          <w:marLeft w:val="0"/>
          <w:marRight w:val="0"/>
          <w:marTop w:val="0"/>
          <w:marBottom w:val="0"/>
          <w:divBdr>
            <w:top w:val="none" w:sz="0" w:space="0" w:color="auto"/>
            <w:left w:val="none" w:sz="0" w:space="0" w:color="auto"/>
            <w:bottom w:val="none" w:sz="0" w:space="0" w:color="auto"/>
            <w:right w:val="none" w:sz="0" w:space="0" w:color="auto"/>
          </w:divBdr>
        </w:div>
        <w:div w:id="1758669945">
          <w:marLeft w:val="0"/>
          <w:marRight w:val="0"/>
          <w:marTop w:val="0"/>
          <w:marBottom w:val="0"/>
          <w:divBdr>
            <w:top w:val="none" w:sz="0" w:space="0" w:color="auto"/>
            <w:left w:val="none" w:sz="0" w:space="0" w:color="auto"/>
            <w:bottom w:val="none" w:sz="0" w:space="0" w:color="auto"/>
            <w:right w:val="none" w:sz="0" w:space="0" w:color="auto"/>
          </w:divBdr>
        </w:div>
        <w:div w:id="746999133">
          <w:marLeft w:val="0"/>
          <w:marRight w:val="0"/>
          <w:marTop w:val="0"/>
          <w:marBottom w:val="0"/>
          <w:divBdr>
            <w:top w:val="none" w:sz="0" w:space="0" w:color="auto"/>
            <w:left w:val="none" w:sz="0" w:space="0" w:color="auto"/>
            <w:bottom w:val="none" w:sz="0" w:space="0" w:color="auto"/>
            <w:right w:val="none" w:sz="0" w:space="0" w:color="auto"/>
          </w:divBdr>
        </w:div>
        <w:div w:id="148450315">
          <w:marLeft w:val="0"/>
          <w:marRight w:val="0"/>
          <w:marTop w:val="0"/>
          <w:marBottom w:val="0"/>
          <w:divBdr>
            <w:top w:val="none" w:sz="0" w:space="0" w:color="auto"/>
            <w:left w:val="none" w:sz="0" w:space="0" w:color="auto"/>
            <w:bottom w:val="none" w:sz="0" w:space="0" w:color="auto"/>
            <w:right w:val="none" w:sz="0" w:space="0" w:color="auto"/>
          </w:divBdr>
        </w:div>
      </w:divsChild>
    </w:div>
    <w:div w:id="1102605584">
      <w:bodyDiv w:val="1"/>
      <w:marLeft w:val="0"/>
      <w:marRight w:val="0"/>
      <w:marTop w:val="0"/>
      <w:marBottom w:val="0"/>
      <w:divBdr>
        <w:top w:val="none" w:sz="0" w:space="0" w:color="auto"/>
        <w:left w:val="none" w:sz="0" w:space="0" w:color="auto"/>
        <w:bottom w:val="none" w:sz="0" w:space="0" w:color="auto"/>
        <w:right w:val="none" w:sz="0" w:space="0" w:color="auto"/>
      </w:divBdr>
    </w:div>
    <w:div w:id="1658262838">
      <w:bodyDiv w:val="1"/>
      <w:marLeft w:val="0"/>
      <w:marRight w:val="0"/>
      <w:marTop w:val="0"/>
      <w:marBottom w:val="0"/>
      <w:divBdr>
        <w:top w:val="none" w:sz="0" w:space="0" w:color="auto"/>
        <w:left w:val="none" w:sz="0" w:space="0" w:color="auto"/>
        <w:bottom w:val="none" w:sz="0" w:space="0" w:color="auto"/>
        <w:right w:val="none" w:sz="0" w:space="0" w:color="auto"/>
      </w:divBdr>
      <w:divsChild>
        <w:div w:id="1069425668">
          <w:marLeft w:val="0"/>
          <w:marRight w:val="0"/>
          <w:marTop w:val="0"/>
          <w:marBottom w:val="0"/>
          <w:divBdr>
            <w:top w:val="none" w:sz="0" w:space="0" w:color="auto"/>
            <w:left w:val="none" w:sz="0" w:space="0" w:color="auto"/>
            <w:bottom w:val="none" w:sz="0" w:space="0" w:color="auto"/>
            <w:right w:val="none" w:sz="0" w:space="0" w:color="auto"/>
          </w:divBdr>
        </w:div>
        <w:div w:id="1882743865">
          <w:marLeft w:val="0"/>
          <w:marRight w:val="0"/>
          <w:marTop w:val="0"/>
          <w:marBottom w:val="0"/>
          <w:divBdr>
            <w:top w:val="none" w:sz="0" w:space="0" w:color="auto"/>
            <w:left w:val="none" w:sz="0" w:space="0" w:color="auto"/>
            <w:bottom w:val="none" w:sz="0" w:space="0" w:color="auto"/>
            <w:right w:val="none" w:sz="0" w:space="0" w:color="auto"/>
          </w:divBdr>
          <w:divsChild>
            <w:div w:id="149278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7799">
                  <w:marLeft w:val="0"/>
                  <w:marRight w:val="0"/>
                  <w:marTop w:val="0"/>
                  <w:marBottom w:val="0"/>
                  <w:divBdr>
                    <w:top w:val="none" w:sz="0" w:space="0" w:color="auto"/>
                    <w:left w:val="none" w:sz="0" w:space="0" w:color="auto"/>
                    <w:bottom w:val="none" w:sz="0" w:space="0" w:color="auto"/>
                    <w:right w:val="none" w:sz="0" w:space="0" w:color="auto"/>
                  </w:divBdr>
                </w:div>
              </w:divsChild>
            </w:div>
            <w:div w:id="57332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3420">
                  <w:marLeft w:val="0"/>
                  <w:marRight w:val="0"/>
                  <w:marTop w:val="0"/>
                  <w:marBottom w:val="0"/>
                  <w:divBdr>
                    <w:top w:val="none" w:sz="0" w:space="0" w:color="auto"/>
                    <w:left w:val="none" w:sz="0" w:space="0" w:color="auto"/>
                    <w:bottom w:val="none" w:sz="0" w:space="0" w:color="auto"/>
                    <w:right w:val="none" w:sz="0" w:space="0" w:color="auto"/>
                  </w:divBdr>
                </w:div>
              </w:divsChild>
            </w:div>
            <w:div w:id="127424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686188">
                  <w:marLeft w:val="0"/>
                  <w:marRight w:val="0"/>
                  <w:marTop w:val="0"/>
                  <w:marBottom w:val="0"/>
                  <w:divBdr>
                    <w:top w:val="none" w:sz="0" w:space="0" w:color="auto"/>
                    <w:left w:val="none" w:sz="0" w:space="0" w:color="auto"/>
                    <w:bottom w:val="none" w:sz="0" w:space="0" w:color="auto"/>
                    <w:right w:val="none" w:sz="0" w:space="0" w:color="auto"/>
                  </w:divBdr>
                </w:div>
              </w:divsChild>
            </w:div>
            <w:div w:id="31830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257966">
                  <w:marLeft w:val="0"/>
                  <w:marRight w:val="0"/>
                  <w:marTop w:val="0"/>
                  <w:marBottom w:val="0"/>
                  <w:divBdr>
                    <w:top w:val="none" w:sz="0" w:space="0" w:color="auto"/>
                    <w:left w:val="none" w:sz="0" w:space="0" w:color="auto"/>
                    <w:bottom w:val="none" w:sz="0" w:space="0" w:color="auto"/>
                    <w:right w:val="none" w:sz="0" w:space="0" w:color="auto"/>
                  </w:divBdr>
                  <w:divsChild>
                    <w:div w:id="11335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3513">
              <w:marLeft w:val="0"/>
              <w:marRight w:val="0"/>
              <w:marTop w:val="0"/>
              <w:marBottom w:val="0"/>
              <w:divBdr>
                <w:top w:val="none" w:sz="0" w:space="0" w:color="auto"/>
                <w:left w:val="none" w:sz="0" w:space="0" w:color="auto"/>
                <w:bottom w:val="none" w:sz="0" w:space="0" w:color="auto"/>
                <w:right w:val="none" w:sz="0" w:space="0" w:color="auto"/>
              </w:divBdr>
            </w:div>
          </w:divsChild>
        </w:div>
        <w:div w:id="3908096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A782-BCBE-42D9-AC48-51B2536D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1790</Words>
  <Characters>9850</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Tania Sanchez Andrade</cp:lastModifiedBy>
  <cp:revision>3</cp:revision>
  <cp:lastPrinted>2015-02-03T19:27:00Z</cp:lastPrinted>
  <dcterms:created xsi:type="dcterms:W3CDTF">2017-03-21T00:15:00Z</dcterms:created>
  <dcterms:modified xsi:type="dcterms:W3CDTF">2017-03-21T00:55:00Z</dcterms:modified>
  <dc:language>en-US</dc:language>
</cp:coreProperties>
</file>